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hint="default" w:ascii="Times New Roman" w:hAnsi="Times New Roman" w:eastAsia="方正大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hint="default" w:ascii="Times New Roman" w:hAnsi="Times New Roman" w:eastAsia="方正大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hint="default" w:ascii="Times New Roman" w:hAnsi="Times New Roman" w:eastAsia="方正大标宋_GBK" w:cs="Times New Roman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大标宋_GBK" w:cs="Times New Roman"/>
          <w:color w:val="FF0000"/>
          <w:spacing w:val="-23"/>
          <w:w w:val="42"/>
          <w:sz w:val="120"/>
          <w:szCs w:val="120"/>
        </w:rPr>
      </w:pPr>
      <w:r>
        <w:rPr>
          <w:rFonts w:hint="default" w:ascii="Times New Roman" w:hAnsi="Times New Roman" w:eastAsia="方正大标宋简体" w:cs="Times New Roman"/>
          <w:color w:val="FF0000"/>
          <w:spacing w:val="-23"/>
          <w:w w:val="42"/>
          <w:sz w:val="120"/>
          <w:szCs w:val="120"/>
          <w:lang w:val="en-US" w:eastAsia="zh-CN"/>
        </w:rPr>
        <w:t>中共洛阳市</w:t>
      </w:r>
      <w:r>
        <w:rPr>
          <w:rFonts w:hint="default" w:ascii="Times New Roman" w:hAnsi="Times New Roman" w:eastAsia="方正大标宋简体" w:cs="Times New Roman"/>
          <w:color w:val="FF0000"/>
          <w:spacing w:val="-23"/>
          <w:w w:val="42"/>
          <w:sz w:val="120"/>
          <w:szCs w:val="120"/>
        </w:rPr>
        <w:t>孟津区</w:t>
      </w:r>
      <w:r>
        <w:rPr>
          <w:rFonts w:hint="default" w:ascii="Times New Roman" w:hAnsi="Times New Roman" w:eastAsia="方正大标宋简体" w:cs="Times New Roman"/>
          <w:color w:val="FF0000"/>
          <w:spacing w:val="-23"/>
          <w:w w:val="42"/>
          <w:sz w:val="120"/>
          <w:szCs w:val="120"/>
          <w:lang w:val="en-US" w:eastAsia="zh-CN"/>
        </w:rPr>
        <w:t>委农村工作</w:t>
      </w:r>
      <w:r>
        <w:rPr>
          <w:rFonts w:hint="default" w:ascii="Times New Roman" w:hAnsi="Times New Roman" w:eastAsia="方正大标宋简体" w:cs="Times New Roman"/>
          <w:color w:val="FF0000"/>
          <w:spacing w:val="-23"/>
          <w:w w:val="42"/>
          <w:sz w:val="120"/>
          <w:szCs w:val="120"/>
        </w:rPr>
        <w:t>领导小组文件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Autospacing="0" w:afterAutospacing="0" w:line="600" w:lineRule="exact"/>
        <w:ind w:right="76"/>
        <w:jc w:val="center"/>
        <w:rPr>
          <w:rFonts w:hint="default"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农领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〔202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号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before="0" w:after="0" w:line="600" w:lineRule="exact"/>
        <w:ind w:left="0" w:right="0" w:firstLine="0"/>
        <w:jc w:val="center"/>
        <w:rPr>
          <w:rFonts w:hint="default" w:ascii="Times New Roman" w:hAnsi="Times New Roman" w:eastAsia="宋体" w:cs="Times New Roman"/>
          <w:color w:val="FF0000"/>
          <w:spacing w:val="0"/>
          <w:w w:val="100"/>
          <w:kern w:val="2"/>
          <w:position w:val="0"/>
          <w:sz w:val="44"/>
          <w:szCs w:val="44"/>
          <w:u w:val="single" w:color="FFFFFF"/>
          <w:shd w:val="clear" w:color="auto" w:fill="auto"/>
          <w:lang w:eastAsia="zh-CN" w:bidi="ar-SA"/>
        </w:rPr>
      </w:pPr>
      <w:r>
        <w:rPr>
          <w:rFonts w:hint="default" w:ascii="Times New Roman" w:hAnsi="Times New Roman" w:eastAsia="宋体" w:cs="Times New Roman"/>
          <w:color w:val="000000"/>
          <w:spacing w:val="0"/>
          <w:w w:val="100"/>
          <w:kern w:val="2"/>
          <w:position w:val="0"/>
          <w:sz w:val="21"/>
          <w:szCs w:val="24"/>
          <w:shd w:val="clear" w:color="auto" w:fill="auto"/>
          <w:lang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210820</wp:posOffset>
                </wp:positionV>
                <wp:extent cx="2628900" cy="0"/>
                <wp:effectExtent l="0" t="7620" r="0" b="762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1524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5pt;margin-top:16.6pt;height:0pt;width:207pt;z-index:251661312;mso-width-relative:page;mso-height-relative:page;" filled="f" stroked="t" coordsize="21600,21600" o:gfxdata="UEsFBgAAAAAAAAAAAAAAAAAAAAAAAFBLAwQKAAAAAACHTuJAAAAAAAAAAAAAAAAABAAAAGRycy9Q&#10;SwMEFAAAAAgAh07iQO0WX9rYAAAACAEAAA8AAABkcnMvZG93bnJldi54bWxNj8FOwzAQRO9I/IO1&#10;SNxauy1UEOJUFIFUBfVA6Ae48TYJjddR7KaFr2dRD/S4M6O3M+ni5FoxYB8aTxomYwUCqfS2oUrD&#10;5vNt9AAiREPWtJ5QwzcGWGTXV6lJrD/SBw5FrARDKCRGQx1jl0gZyhqdCWPfIbG3870zkc++krY3&#10;R4a7Vk6VmktnGuIPtenwpcZyXxwcU8rX9Ve+2vmfzbAvlnI5z5/fc61vbybqCUTEU/wPw199rg4Z&#10;d9r6A9kgWg2jR54SNcxmUxDs36l7FrZnQWapvByQ/QJQSwMEFAAAAAgAh07iQDC/aFPjAQAAqAMA&#10;AA4AAABkcnMvZTJvRG9jLnhtbK1TzY7TMBC+I/EOlu802YqulqjpHraUC4JKwANM7UliyX+y3aZ9&#10;CV4AiRucOHLnbdh9DMZutyxwQYgcnLFn5vN8X77Mr/dGsx2GqJxt+cWk5gytcFLZvuXv3q6eXHEW&#10;E1gJ2lls+QEjv148fjQffYNTNzgtMTACsbEZfcuHlHxTVVEMaCBOnEdLyc4FA4m2oa9kgJHQja6m&#10;dX1ZjS5IH5zAGOl0eUzyRcHvOhTpdddFTEy3nGZLZQ1l3eS1Wsyh6QP4QYnTGPAPUxhQli49Qy0h&#10;AdsG9QeUUSK46Lo0Ec5UruuUwMKB2FzUv7F5M4DHwoXEif4sU/x/sOLVbh2Yki2fcWbB0Ce6/fD1&#10;+/tPd98+0nr75TObZZFGHxuqvbHrcNpFvw6Z8b4LJr+JC9sXYQ9nYXGfmKDD6eX06llN+ov7XPWz&#10;0YeYXqAzLAct18pmztDA7mVMdBmV3pfkY23ZSE6bTZ9mPCDPdBoShcYTi2j70hydVnKltM4tMfSb&#10;Gx3YDsgFq1VNT+ZEwL+U5VuWEIdjXUkd/TEgyOdWsnTwpI8lI/M8g0HJmUbyfY4IEJoESv9NJV2t&#10;bW7A4tET0SzyUdYcbZw80LfZ+qD6gYRJYYtl7JwkOxQCJ+tmvz3cU/zwB1v8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BYAAABkcnMvUEsB&#10;AhQAFAAAAAgAh07iQO0WX9rYAAAACAEAAA8AAAAAAAAAAQAgAAAAOAAAAGRycy9kb3ducmV2Lnht&#10;bFBLAQIUABQAAAAIAIdO4kAwv2hT4wEAAKgDAAAOAAAAAAAAAAEAIAAAAD0BAABkcnMvZTJvRG9j&#10;LnhtbFBLBQYAAAAABgAGAFkBAACSBQAAAAA=&#10;">
                <v:fill on="f" focussize="0,0"/>
                <v:stroke weight="1.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宋体" w:cs="Times New Roman"/>
          <w:color w:val="000000"/>
          <w:spacing w:val="0"/>
          <w:w w:val="100"/>
          <w:kern w:val="2"/>
          <w:position w:val="0"/>
          <w:sz w:val="21"/>
          <w:szCs w:val="24"/>
          <w:shd w:val="clear" w:color="auto" w:fill="auto"/>
          <w:lang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2957830</wp:posOffset>
                </wp:positionH>
                <wp:positionV relativeFrom="paragraph">
                  <wp:posOffset>212725</wp:posOffset>
                </wp:positionV>
                <wp:extent cx="2628900" cy="0"/>
                <wp:effectExtent l="0" t="7620" r="0" b="762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1524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2.9pt;margin-top:16.75pt;height:0pt;width:207pt;z-index:251660288;mso-width-relative:page;mso-height-relative:page;" filled="f" stroked="t" coordsize="21600,21600" o:gfxdata="UEsFBgAAAAAAAAAAAAAAAAAAAAAAAFBLAwQKAAAAAACHTuJAAAAAAAAAAAAAAAAABAAAAGRycy9Q&#10;SwMEFAAAAAgAh07iQCBEfx/YAAAACQEAAA8AAABkcnMvZG93bnJldi54bWxNj8FOwkAQhu8mvMNm&#10;SLzJFpCKtVsiRhNT48HKAyzdoS10Z5vuUtCnZ4wHPc4/f775Jl2dbSsG7H3jSMF0EoFAKp1pqFKw&#10;+Xy5WYLwQZPRrSNU8IUeVtnoKtWJcSf6wKEIlWAI+UQrqEPoEil9WaPVfuI6JN7tXG914LGvpOn1&#10;ieG2lbMoiqXVDfGFWnf4VGN5KI6WKeXz+z5/3bnvzXAo1nId549vuVLX42n0ACLgOfyV4Uef1SFj&#10;p607kvGiVXAbL1g9KJjPFyC4sLy752D7G8gslf8/yC5QSwMEFAAAAAgAh07iQDZeCq7jAQAAqAMA&#10;AA4AAABkcnMvZTJvRG9jLnhtbK1TzY7TMBC+I/EOlu802QqqJWq6hy3lgqAS8ABT20ks+U9jt2lf&#10;ghdA4gYnjtx5G5bHYOx2y+5yQYgcnLFn5vN8X77Mr/bWsJ3CqL1r+cWk5kw54aV2fcvfv1s9ueQs&#10;JnASjHeq5QcV+dXi8aP5GBo19YM3UiEjEBebMbR8SCk0VRXFoCzEiQ/KUbLzaCHRFvtKIoyEbk01&#10;retZNXqUAb1QMdLp8pjki4LfdUqkN10XVWKm5TRbKiuWdZPXajGHpkcIgxanMeAfprCgHV16hlpC&#10;ArZF/QeU1QJ99F2aCG8r33VaqMKB2FzUD9i8HSCowoXEieEsU/x/sOL1bo1My5bPOHNg6RPdfPz2&#10;48Pnn98/0Xrz9QubZZHGEBuqvXZrPO1iWGNmvO/Q5jdxYfsi7OEsrNonJuhwOptePq9Jf3Gbq343&#10;BozppfKW5aDlRrvMGRrYvYqJLqPS25J8bBwbyWnPpk8zHpBnOgOJQhuIRXR9aY7eaLnSxuSWiP3m&#10;2iDbAblgtarpyZwI+F5ZvmUJcTjWldTRH4MC+cJJlg6B9HFkZJ5nsEpyZhT5PkcECE0Cbf6mkq42&#10;Ljeo4tET0SzyUdYcbbw80LfZBtT9QMIk3Koydk6SHQqBk3Wz3+7uKb77gy1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BYAAABkcnMvUEsB&#10;AhQAFAAAAAgAh07iQCBEfx/YAAAACQEAAA8AAAAAAAAAAQAgAAAAOAAAAGRycy9kb3ducmV2Lnht&#10;bFBLAQIUABQAAAAIAIdO4kA2Xgqu4wEAAKgDAAAOAAAAAAAAAAEAIAAAAD0BAABkcnMvZTJvRG9j&#10;LnhtbFBLBQYAAAAABgAGAFkBAACSBQAAAAA=&#10;">
                <v:fill on="f" focussize="0,0"/>
                <v:stroke weight="1.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宋体" w:cs="Times New Roman"/>
          <w:color w:val="FF0000"/>
          <w:spacing w:val="0"/>
          <w:w w:val="100"/>
          <w:kern w:val="2"/>
          <w:position w:val="0"/>
          <w:sz w:val="44"/>
          <w:szCs w:val="44"/>
          <w:u w:val="single" w:color="FFFFFF"/>
          <w:shd w:val="clear" w:color="auto" w:fill="auto"/>
          <w:lang w:eastAsia="zh-CN" w:bidi="ar-SA"/>
        </w:rPr>
        <w:t>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default" w:ascii="Times New Roman" w:hAnsi="Times New Roman" w:eastAsia="方正大标宋_GBK" w:cs="Times New Roman"/>
          <w:spacing w:val="-6"/>
          <w:sz w:val="44"/>
          <w:szCs w:val="44"/>
        </w:rPr>
      </w:pPr>
      <w:r>
        <w:rPr>
          <w:rFonts w:hint="default" w:ascii="Times New Roman" w:hAnsi="Times New Roman" w:eastAsia="方正大标宋_GBK" w:cs="Times New Roman"/>
          <w:spacing w:val="-6"/>
          <w:sz w:val="44"/>
          <w:szCs w:val="44"/>
          <w:lang w:val="en-US" w:eastAsia="zh-CN"/>
        </w:rPr>
        <w:t>中共洛阳市</w:t>
      </w:r>
      <w:r>
        <w:rPr>
          <w:rFonts w:hint="default" w:ascii="Times New Roman" w:hAnsi="Times New Roman" w:eastAsia="方正大标宋_GBK" w:cs="Times New Roman"/>
          <w:spacing w:val="-6"/>
          <w:sz w:val="44"/>
          <w:szCs w:val="44"/>
        </w:rPr>
        <w:t>孟津区</w:t>
      </w:r>
      <w:r>
        <w:rPr>
          <w:rFonts w:hint="default" w:ascii="Times New Roman" w:hAnsi="Times New Roman" w:eastAsia="方正大标宋_GBK" w:cs="Times New Roman"/>
          <w:spacing w:val="-6"/>
          <w:sz w:val="44"/>
          <w:szCs w:val="44"/>
          <w:lang w:val="en-US" w:eastAsia="zh-CN"/>
        </w:rPr>
        <w:t>委农村工作</w:t>
      </w:r>
      <w:r>
        <w:rPr>
          <w:rFonts w:hint="default" w:ascii="Times New Roman" w:hAnsi="Times New Roman" w:eastAsia="方正大标宋_GBK" w:cs="Times New Roman"/>
          <w:spacing w:val="-6"/>
          <w:sz w:val="44"/>
          <w:szCs w:val="44"/>
        </w:rPr>
        <w:t>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default" w:ascii="Times New Roman" w:hAnsi="Times New Roman" w:eastAsia="方正大标宋_GBK" w:cs="Times New Roman"/>
          <w:sz w:val="44"/>
          <w:szCs w:val="44"/>
        </w:rPr>
      </w:pPr>
      <w:r>
        <w:rPr>
          <w:rFonts w:hint="default" w:ascii="Times New Roman" w:hAnsi="Times New Roman" w:eastAsia="方正大标宋_GBK" w:cs="Times New Roman"/>
          <w:sz w:val="44"/>
          <w:szCs w:val="44"/>
        </w:rPr>
        <w:t>关于孟津区202</w:t>
      </w:r>
      <w:r>
        <w:rPr>
          <w:rFonts w:hint="default" w:ascii="Times New Roman" w:hAnsi="Times New Roman" w:eastAsia="方正大标宋_GBK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大标宋_GBK" w:cs="Times New Roman"/>
          <w:sz w:val="44"/>
          <w:szCs w:val="44"/>
        </w:rPr>
        <w:t>年度巩固拓展脱贫攻坚成果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default" w:ascii="Times New Roman" w:hAnsi="Times New Roman" w:eastAsia="方正大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大标宋_GBK" w:cs="Times New Roman"/>
          <w:sz w:val="44"/>
          <w:szCs w:val="44"/>
        </w:rPr>
        <w:t>项</w:t>
      </w:r>
      <w:r>
        <w:rPr>
          <w:rFonts w:hint="default" w:ascii="Times New Roman" w:hAnsi="Times New Roman" w:eastAsia="方正大标宋_GBK" w:cs="Times New Roman"/>
          <w:sz w:val="44"/>
          <w:szCs w:val="44"/>
          <w:highlight w:val="none"/>
        </w:rPr>
        <w:t>目库</w:t>
      </w:r>
      <w:r>
        <w:rPr>
          <w:rFonts w:hint="default" w:ascii="Times New Roman" w:hAnsi="Times New Roman" w:eastAsia="方正大标宋_GBK" w:cs="Times New Roman"/>
          <w:sz w:val="44"/>
          <w:szCs w:val="44"/>
          <w:lang w:val="en-US" w:eastAsia="zh-CN"/>
        </w:rPr>
        <w:t>第一次</w:t>
      </w:r>
      <w:r>
        <w:rPr>
          <w:rFonts w:hint="default" w:ascii="Times New Roman" w:hAnsi="Times New Roman" w:eastAsia="方正大标宋_GBK" w:cs="Times New Roman"/>
          <w:sz w:val="44"/>
          <w:szCs w:val="44"/>
          <w:lang w:eastAsia="zh-CN"/>
        </w:rPr>
        <w:t>动态调整</w:t>
      </w:r>
      <w:r>
        <w:rPr>
          <w:rFonts w:hint="default" w:ascii="Times New Roman" w:hAnsi="Times New Roman" w:eastAsia="方正大标宋_GBK" w:cs="Times New Roman"/>
          <w:sz w:val="44"/>
          <w:szCs w:val="44"/>
          <w:highlight w:val="none"/>
        </w:rPr>
        <w:t>的审定决议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（202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中共洛阳市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孟津区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委农村工作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领导小组会议通过）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中共洛阳市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孟津区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委农村工作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领导小组于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日在区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委五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楼会议室组织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召开领导小组会议，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年度巩固拓展脱贫攻坚成果项目库动态调整情况进行了审议。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会议听取了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农业农村局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交通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运输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局关于拟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调整项目情况汇报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，经领导小组成员单位深入研究探讨，最终形成以下决议：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原则同意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农业农村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局申报的2024年度孟津区会盟镇预制菜加工集体经济项目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2024年度孟津区会盟镇双槐农谷稻田艺术公园集体经济项目、2024年度孟津区送庄镇瓜果残留物无害化处理项目、2024年度孟津区朝阳镇养殖棚建设集体经济项目、2024年度孟津区小浪底镇津西村特色种植产业园集体经济项目、2024年度孟津区小浪底镇班沟村农产品加工集体经济项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等共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个产业发展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和1个人居环境整治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项目纳入202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年度项目库，投资额度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1915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原则同意交通运输局申报的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小浪底南达宿村、崔岭村2个村，横水镇元庄村、文公村2个村，常袋镇赵凹村、东小梵村2个村，平乐镇新庄村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个村，麻屯镇下凹村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个村，会盟镇小寨村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、老城村、铁炉村、双槐村4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个村，白鹤镇落架沟村、任庄村2个村，城关镇李家窑社区、杨庄社区2个社区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送庄镇十里头村、凤凰台村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个村，朝阳镇刘寨村、后李村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、卫坡村3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个村，西霞院街道柴河社区1个社区，吉利街道吉利社区1个社区，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共1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镇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街道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个村（社区）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个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村道建设乡村建设行动项目纳入202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年度项目库，投资额度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2076.6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万元。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原则同意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农业农村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申请因要素保障不全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的2024年度孟津区小浪底镇研学集体经济项目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、2024年度孟津区白鹤镇铁谢村乡村微度假综合体集体经济项目、2024年度孟津区小浪底镇马屯社区仓储集体经济项目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2024年度孟津区麻屯镇单寨村智能云仓集体经济项目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共计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个产业发展项目退出2024年度项目库，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投资额度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经会议审定，202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年度孟津区巩固拓展脱贫攻坚成果项目库共入库项目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个，项目投资总额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9078.95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万元，其中：产业发展项目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个，投资额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3429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万元；乡村建设行动项目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个，投资额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5394.95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万元；就业项目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个，投资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额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255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会议要求：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要维护项目库建设的严肃性，凡是使用衔接资金建设的项目必须从项目库中选择。项目一经入库，行业部门和建设单位不得随意调整项目建设内容和投资额度，如需调整必须提出书面申请和充分理由，并报区巩固拓展脱贫攻坚成果领导小组召开会议，形成审定意见后方可调整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2" w:firstLineChars="200"/>
        <w:jc w:val="both"/>
        <w:textAlignment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会议强调：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要抓紧开展项目前期手续办理，对拟于202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上半年实施的项目，行业部门和建设主体要尽快开展项目用地、环评、设计、评审等前期工作，为项目批复实施预留充足建设时间，确保项目尽快建成、尽快见效，为巩固拓展脱贫攻坚成果同乡村振兴有效衔接提供坚强支撑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孟津区2024年度第二批产业发展项目入库统计表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1600" w:firstLineChars="0"/>
        <w:jc w:val="both"/>
        <w:textAlignment w:val="center"/>
        <w:rPr>
          <w:rFonts w:hint="default" w:ascii="Times New Roman" w:hAnsi="Times New Roman" w:eastAsia="仿宋_GB2312" w:cs="Times New Roman"/>
          <w:spacing w:val="-17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7"/>
          <w:sz w:val="32"/>
          <w:szCs w:val="32"/>
        </w:rPr>
        <w:t>孟津区2024年度第二批道路基础设施项目入库统计表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1600" w:firstLineChars="0"/>
        <w:jc w:val="both"/>
        <w:textAlignment w:val="center"/>
        <w:rPr>
          <w:rFonts w:hint="default" w:ascii="Times New Roman" w:hAnsi="Times New Roman" w:eastAsia="仿宋_GB2312" w:cs="Times New Roman"/>
          <w:spacing w:val="-17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7"/>
          <w:sz w:val="32"/>
          <w:szCs w:val="32"/>
          <w:lang w:val="en-US" w:eastAsia="zh-CN"/>
        </w:rPr>
        <w:t>孟津区2024年度产业发展项目拟退出项目库统计表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中共洛阳市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孟津区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委农村工作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领导小组</w:t>
      </w:r>
    </w:p>
    <w:p>
      <w:pPr>
        <w:pStyle w:val="8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 w:firstLineChars="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 w:firstLineChars="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814" w:right="1531" w:bottom="1814" w:left="1531" w:header="851" w:footer="1304" w:gutter="0"/>
          <w:pgNumType w:fmt="decimal"/>
          <w:cols w:space="0" w:num="1"/>
          <w:rtlGutter w:val="1"/>
          <w:docGrid w:linePitch="312" w:charSpace="0"/>
        </w:sectPr>
      </w:pPr>
    </w:p>
    <w:p>
      <w:pPr>
        <w:rPr>
          <w:rFonts w:hint="eastAsia" w:ascii="黑体" w:hAnsi="黑体" w:eastAsia="黑体" w:cs="黑体"/>
          <w:spacing w:val="-10"/>
          <w:w w:val="9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0"/>
          <w:w w:val="95"/>
          <w:sz w:val="32"/>
          <w:szCs w:val="32"/>
          <w:lang w:val="en-US" w:eastAsia="zh-CN"/>
        </w:rPr>
        <w:t>附件1</w:t>
      </w:r>
    </w:p>
    <w:p>
      <w:pPr>
        <w:pStyle w:val="2"/>
        <w:jc w:val="center"/>
        <w:rPr>
          <w:rFonts w:hint="eastAsia" w:ascii="方正大标宋_GBK" w:hAnsi="方正大标宋_GBK" w:eastAsia="方正大标宋_GBK" w:cs="方正大标宋_GBK"/>
          <w:sz w:val="44"/>
          <w:szCs w:val="44"/>
          <w:lang w:val="en-US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/>
        </w:rPr>
        <w:t>孟津区2024年度第二批产业发展项目入库统计表</w:t>
      </w:r>
    </w:p>
    <w:tbl>
      <w:tblPr>
        <w:tblStyle w:val="9"/>
        <w:tblW w:w="1464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527"/>
        <w:gridCol w:w="778"/>
        <w:gridCol w:w="773"/>
        <w:gridCol w:w="656"/>
        <w:gridCol w:w="544"/>
        <w:gridCol w:w="806"/>
        <w:gridCol w:w="884"/>
        <w:gridCol w:w="734"/>
        <w:gridCol w:w="1576"/>
        <w:gridCol w:w="669"/>
        <w:gridCol w:w="638"/>
        <w:gridCol w:w="1106"/>
        <w:gridCol w:w="1706"/>
        <w:gridCol w:w="521"/>
        <w:gridCol w:w="23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tblHeader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序号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省辖市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县（市、区）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项目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名称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项目类型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建设性质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实施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地点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时间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进度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责任单位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建设任务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资金规模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资金筹措方式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受益对象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绩效目标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群众参与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帮扶机制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69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合计：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6个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19</w:t>
            </w:r>
            <w:r>
              <w:rPr>
                <w:rFonts w:hint="eastAsia" w:cs="Times New Roman"/>
                <w:lang w:val="en-US" w:eastAsia="zh-CN"/>
              </w:rPr>
              <w:t>50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1" w:hRule="atLeast"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5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2024年度孟津区会盟镇预制菜加工集体经济项目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加工业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会盟镇油坊村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2024.7-2024.12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新建两层钢构厂房5170平方米一座、地坪3500平方米、围墙410米等配套设施。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全镇20个村集体经济及脱贫户和监测对象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项目建设完成后采用出租的模式，由运营商具体经营，年收益不低于项目投资额6%，。该项目比较稳定，综合收益率较高,群众对项目实施效果非常满意。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项目期内，项目收益通过会盟镇党政联席会将项目年收益不低于70%用于会盟镇脱贫户以及监测对象差异化收益。剩余部分可作为集体公益金分配给油坊、陆村社区、东良村等20个村发展社会公益事业。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7" w:hRule="atLeast"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2024年度孟津区会盟镇双槐农谷稻田艺术公园集体经济项目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休闲农业与乡村旅游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会盟镇双槐村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2024.8-2024.12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新建稻田艺术公园小火车（铺设轨道约2000米，54席观光火车、综服站台2处、观光站台19处，拟建于现状水渠上）项目。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全镇20个村集体经济及脱贫户和监测对象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项目建设完成后采用出租的模式，由运营商具体经营，年收益不低于项目投资额6%。该项目比较稳定，综合收益率较高,群众对项目实施效果非常满意。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项目期内，项目收益通过会盟镇党政联席会将项目年收益不低于70%用于会盟镇脱贫户以及监测对象差异化收益。剩余部分可作为集体公益金分配给双槐村、陆村社区、东良村等20个村发展社会公益事业。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7" w:hRule="atLeast"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2024年度孟津区送庄镇瓜果残留物无害化处理项目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农村垃圾治理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送庄镇朱家寨村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2024.08-2024.11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在送庄镇朱家寨村建设面积600平方米的瓜果残留物无害化处理基地，同步配套相关设施及设备。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财政衔接资金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送庄镇、白鹤镇、朝阳镇3镇9村（十里头村、朱家寨村、梁凹村、送庄社区、七里村、范村、崔窑村、闫凹村、游王村）6216户22059人。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年均可处理 2.2万吨瓜果残留物的无害化处理，生产5000m³优质菌肥（或者有机肥料），可带动送庄镇、白鹤镇、朝阳镇3镇9村的瓜果残留物农作物等残体进行无害化处理，生产优质菌肥，有效改善地区人居环境，促进农业生产全链条发展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1.项目交付后，根据项目运行实际用人需求，在同等条件下，优先吸纳条件适合的脱贫户、监测对象就近就业；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2.项目建成后可无害化处置农牧生产残留物，开展循环利用，促进农业发展，提升人居环境现状；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3" w:hRule="atLeast"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2024年度孟津区朝阳镇养殖棚建设集体经济项目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养殖业基地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朝阳镇南石山村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2024.08-2024.12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新建占地4亩的高密度养鱼基地大棚2座，新建占地2亩的养鸡基地大棚1座及其配套养殖设施。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朝阳镇北陈村、游王村、南石山村、杨凹村、小良村5个村189户脱贫户和监测对象。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项目建成后采用出租的模式，招募运营商具体经营，年收益不低于项目投资额6%，可带动北陈村、游王村、南石山村、杨凹村、小良村5个村集体经济增收。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由镇党政联席会议研究决定北陈村、游王村、南石山村、杨凹村、小良村5个村项目收益具体分配金额，5个村各自制定收益分配方案，进行差异化二次分配，收益不低于70%用于带动脱贫户、监测对象务工增收，剩余部分用于发展村级公益事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2024年度孟津区小浪底镇津西村特色种植产业园集体经济项目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种植业基地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小浪底镇津西村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2024.8-2024.12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修建水池300立方米一座、冷库200平方米、生产管理房600平方米、灌溉设备一套。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小浪底镇28个村集体经济及脱贫户和监测对象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项目建设完成后采用出租的模式，由运营商具体经营，年收益不低于项目投资额6%。该项目比较稳定，综合收益率较高,群众对项目实施效果非常满意。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项目期内，项目收益通过小浪底镇党政联席会将项目年收益70%用于小浪底镇脱贫户以及监测对象差异化收益。剩余30%部分可作为集体公益金分配给朱坡、庙护、王湾、东达宿、东官庄等28个村发展社会公益事业。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  <w:jc w:val="center"/>
        </w:trPr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2024年度孟津区小浪底镇班沟村农产品加工集体经济项目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加工业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小浪底镇班沟村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2024.8-2024.11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以原班沟冷库项目为基础，改造600立方冷冻库、鲜食玉米加工流水线设备及车间建设400平方、生态鲜食玉米种植灌溉滴灌1400亩配套设施、电力安装及改造。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小浪底镇28个村集体经济及脱贫户和监测对象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项目建成后，采用村合作社和第三方联合运营的模式，综合收益率较高，年收益不低于项目投资额的6%。该项目比较稳定，综合收益率较高,群众对项目实施效果非常满意。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项目期内，项目收益通过小浪底镇党政联席会将项目年收益70%用于小浪底镇脱贫户以及监测对象差异化收益。剩余30%部分可作为集体公益金分配给朱坡、庙护、王湾、东达宿、东官庄等28个村发展社会公益事业。</w:t>
            </w:r>
          </w:p>
        </w:tc>
      </w:tr>
    </w:tbl>
    <w:p>
      <w:pPr>
        <w:pStyle w:val="5"/>
        <w:rPr>
          <w:rFonts w:hint="default" w:ascii="Times New Roman" w:hAnsi="Times New Roman" w:cs="Times New Roman"/>
          <w:lang w:val="en-US"/>
        </w:rPr>
      </w:pPr>
    </w:p>
    <w:p>
      <w:pPr>
        <w:rPr>
          <w:rFonts w:hint="default" w:ascii="Times New Roman" w:hAnsi="Times New Roman" w:cs="Times New Roman"/>
          <w:lang w:val="en-US"/>
        </w:rPr>
      </w:pPr>
    </w:p>
    <w:p>
      <w:pPr>
        <w:pStyle w:val="2"/>
        <w:rPr>
          <w:rFonts w:hint="default" w:ascii="Times New Roman" w:hAnsi="Times New Roman" w:cs="Times New Roman"/>
          <w:lang w:val="en-US"/>
        </w:rPr>
      </w:pPr>
    </w:p>
    <w:p>
      <w:pPr>
        <w:pStyle w:val="5"/>
        <w:rPr>
          <w:rFonts w:hint="default" w:ascii="Times New Roman" w:hAnsi="Times New Roman" w:cs="Times New Roman"/>
          <w:lang w:val="en-US"/>
        </w:rPr>
      </w:pPr>
    </w:p>
    <w:p>
      <w:pPr>
        <w:rPr>
          <w:rFonts w:hint="default"/>
          <w:lang w:val="en-US"/>
        </w:rPr>
      </w:pPr>
    </w:p>
    <w:p>
      <w:pPr>
        <w:pStyle w:val="5"/>
        <w:rPr>
          <w:rFonts w:hint="default" w:ascii="Times New Roman" w:hAnsi="Times New Roman" w:cs="Times New Roman"/>
          <w:lang w:val="en-US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jc w:val="center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孟津区2024年度第二批道路基础设施项目入库统计表</w:t>
      </w:r>
    </w:p>
    <w:tbl>
      <w:tblPr>
        <w:tblStyle w:val="9"/>
        <w:tblW w:w="14423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31"/>
        <w:gridCol w:w="1210"/>
        <w:gridCol w:w="656"/>
        <w:gridCol w:w="544"/>
        <w:gridCol w:w="694"/>
        <w:gridCol w:w="843"/>
        <w:gridCol w:w="638"/>
        <w:gridCol w:w="2531"/>
        <w:gridCol w:w="713"/>
        <w:gridCol w:w="637"/>
        <w:gridCol w:w="1125"/>
        <w:gridCol w:w="1313"/>
        <w:gridCol w:w="618"/>
        <w:gridCol w:w="16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Header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省辖市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县（市、区）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项目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名称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项目类型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建设性质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实施地点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时间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进度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责任单位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建设任务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资金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规模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资金筹措方式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受益对象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绩效目标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群众参与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帮扶机制</w:t>
            </w:r>
          </w:p>
        </w:tc>
      </w:tr>
      <w:tr>
        <w:tblPrEx>
          <w:shd w:val="clear" w:color="auto" w:fill="auto"/>
        </w:tblPrEx>
        <w:trPr>
          <w:trHeight w:val="737" w:hRule="atLeast"/>
          <w:jc w:val="center"/>
        </w:trPr>
        <w:tc>
          <w:tcPr>
            <w:tcW w:w="1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合计：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eastAsia" w:cs="Times New Roman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个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2076.6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2024年孟津区小浪底镇崔岭村道路建设项目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崔岭村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小浪底镇崔岭村新建水泥混凝土路0.65公里，宽度3米，厚0.18米。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崔岭村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提升小浪底镇崔岭村基础设施水平受益人口1364人。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2024年孟津区小浪底镇南达宿村道路建设项目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南达宿村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小浪底镇南达宿村新建水泥混凝土路0.8公里，宽度3米，厚0.18米。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34.3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南达宿村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提升小浪底镇南达宿村基础设施水平受益人口2310人。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2024年孟津区横水镇元庄村道路建设项目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元庄村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横水镇元庄村新建水泥混凝土路0.52公里，宽度3米，厚0.18米。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元庄村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提升横水镇元庄村基础设施水平受益人口2150人。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2024年孟津区横水镇文公村道路建设项目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文公村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横水镇文公村新建水泥混凝土路0.65公里，宽度3米，厚0.18米。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34.1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文公村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提升横水镇文公村基础设施水平受益人口2743人。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2024年孟津区常袋镇赵凹村道路建设项目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赵凹村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常袋镇赵凹村新建水泥混凝土路0.64公里，宽度3米，厚0.18米。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32.3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赵凹村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提升常袋镇赵凹村基础设施水平受益人口2260人。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2024年孟津区常袋镇东小梵村道路建设项目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东小梵村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常袋镇东小梵村新建水泥混凝土路0.5公里，宽度3米，厚0.18米。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27.8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东小梵村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提升常袋镇东小梵村基础设施水平受益人口1300人。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2024年孟津区平乐镇新庄村道路建设项目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新庄村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平乐镇新庄村新建水泥混凝土路0.77公里，宽度3米，厚0.18米。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52.5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新庄村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提升平乐镇新庄村基础设施水平受益人口2986人。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2024年孟津区麻屯镇下凹村道路建设项目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下凹村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麻屯镇下凹村新建水泥混凝土路1.3公里，宽度3米，厚0.18米。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下凹村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提升麻屯镇下凹村基础设施水平受益人口1450人。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2024年孟津区会盟镇小寨村道路建设项目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小寨村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会盟镇小寨村新建水泥混凝土路0.9公里，宽度3米，厚0.18米。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47.3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小寨村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提升会盟镇小寨村基础设施水平受益人口3407人。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2024年孟津区白鹤镇任庄村道路建设项目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任庄村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白鹤镇任庄村新建水泥混凝土路0.7公里，宽度3米，厚0.18米。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任庄村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提升白鹤镇任庄村基础设施水平受益人口2491人。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2024年孟津区白鹤镇落驾沟村道路建设项目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落驾沟村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白鹤镇落驾沟村新建水泥混凝土路0.46公里，宽度3米，厚0.18米。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落驾沟村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提升白鹤镇落驾沟村基础设施水平受益人口1022人。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2024年孟津区城关镇李家窑社区道路建设项目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李家窑社区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城关镇李家窑社区新建水泥混凝土路0.7公里，宽度3米，厚0.18米。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34.1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李家窑社区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提升城关镇李家窑社区基础设施水平受益人口2100人。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2024年孟津区城关镇杨庄社区道路建设项目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杨庄社区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城关镇杨庄社区新建水泥混凝土路0.65公里，宽度3米，厚0.18米。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杨庄社区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提升城关镇杨庄社区基础设施水平受益人口1989人。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2024年孟津区送庄镇十里头村道路建设项目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十里头村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送庄镇十里头村新建水泥混凝土路1.05公里，宽度3米，厚0.18米。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59.8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十里头村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提升送庄镇十里头村基础设施水平受益人口2174人。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2024年孟津区送庄镇凤凰台村道路建设项目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凤凰台村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送庄镇凤凰台村新建水泥混凝土路0.9公里，宽度3米，厚0.18米。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163.8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凤凰台村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提升送庄镇凤凰台村基础设施水平受益人口1444人。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2024年孟津区朝阳镇后李村道路建设项目2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后李村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朝阳镇后李村新建水泥混凝土路1.6公里，宽度3米，厚0.18米。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后李村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提升朝阳镇后李村基础设施水平受益人口1878人。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2024年孟津区朝阳镇刘寨村道路建设项目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刘寨村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朝阳镇刘寨村新建水泥混凝土路0.72公里，宽度3米，厚0.18米。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36.3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刘寨村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提升朝阳镇刘寨村基础设施水平受益人口2650人。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2024年孟津区西霞院街道柴河社区道路建设项目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柴河社区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西霞院街道柴河社区新建水泥混凝土路0.33公里，宽度3米，厚0.18米。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柴河社区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提升西霞院街道柴河社区基础设施水平受益人口354人。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9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2024年孟津区吉利街道吉利社区道路建设项目2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吉利社区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吉利街道吉利社区新建水泥混凝土路0.42公里，宽度3米，厚0.18米。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吉利社区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提升吉利街道吉利社区基础设施水平受益人口553人。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2024年孟津区朝阳镇卫坡村路道路建设项目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卫坡村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朝阳镇卫坡村新建沥青混凝土路0.751公里，宽度6米，厚0.06米。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212.7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卫坡村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提升朝阳镇卫坡村基础设施水平受益人口2106人。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2024年孟津区会盟老城村道路建设项目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老城村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会盟镇老城村新建水泥混凝土路1.109公里，宽度4.5米，厚0.06米。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50.7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老城村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提升会盟镇老城村基础设施水平受益人口4451人。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2024年孟津区会盟铁炉村道路建设项目2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铁炉村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会盟镇铁炉村新建沥青混凝土路6.452公里，宽度6米，厚0.06米。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534.7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铁炉村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提升会盟镇铁炉村基础设施水平受益人口2228人。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2024年孟津区会盟双槐村道路建设项目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村基础设施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双槐村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2024.1-2024.12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会盟双槐村新建沥青混凝土路3.566公里，宽度6米，厚0.18米。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432.3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双槐村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提升会盟镇双槐村基础设施水平受益人口2296人。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汉仪书宋二KW" w:hAnsi="汉仪书宋二KW" w:eastAsia="汉仪书宋二KW" w:cs="汉仪书宋二KW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完善村基础设施，方便群众生产生活。</w:t>
            </w:r>
          </w:p>
        </w:tc>
      </w:tr>
    </w:tbl>
    <w:p>
      <w:pPr>
        <w:pStyle w:val="5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5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5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5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jc w:val="center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孟津区2024年度产业发展项目拟退出项目库统计表</w:t>
      </w:r>
    </w:p>
    <w:tbl>
      <w:tblPr>
        <w:tblStyle w:val="9"/>
        <w:tblW w:w="1462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9"/>
        <w:gridCol w:w="548"/>
        <w:gridCol w:w="750"/>
        <w:gridCol w:w="755"/>
        <w:gridCol w:w="558"/>
        <w:gridCol w:w="654"/>
        <w:gridCol w:w="638"/>
        <w:gridCol w:w="956"/>
        <w:gridCol w:w="637"/>
        <w:gridCol w:w="1179"/>
        <w:gridCol w:w="619"/>
        <w:gridCol w:w="675"/>
        <w:gridCol w:w="1125"/>
        <w:gridCol w:w="2643"/>
        <w:gridCol w:w="638"/>
        <w:gridCol w:w="18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序号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省辖市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县（市、区）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项目名称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项目类型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建设性质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实施地点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时间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进度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责任单位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建设任务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资金规模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资金筹措方式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受益对象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绩效目标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群众参与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帮扶机制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6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合计：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个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8" w:hRule="atLeast"/>
          <w:jc w:val="center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2024年度孟津区小浪底镇研学集体经济项目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休闲农业与乡村旅游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小浪底镇明达村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2024.04-2024.10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利用明达村建设用地11亩打造一个研学点，在村小学基础上改扩建民宿，新建一个沙沟亲子互动体验馆，一个农耕生活体验中心。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小浪底镇28个村集体经济和1130户脱贫户及178户监测对象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申请财政资金800万，在明达村利用建设用地11亩打造一个研学点，在村小学基础上改扩建民宿，新建一个沙沟亲子互动体验馆，一个农耕生活体验中心。建成后，产权归小浪底镇政府所有，由运营商承租运营，年收益不低于项目投资额的6%。该项目比较稳定，综合收益率较高,群众对项目实施效果非常满意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项目期内，项目收益通过小浪底镇党政联席会将项目年收益的70%用于小浪底镇脱贫户及监测对象差异化收益，其余收益30%分配给各村用于项目管理、村级集体公益事业等。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 w:hRule="atLeast"/>
          <w:jc w:val="center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textAlignment w:val="auto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2024年度孟津区白鹤镇铁谢村乡村微度假综合体集体经济项目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休闲农业与乡村旅游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260" w:lineRule="exact"/>
              <w:rPr>
                <w:rFonts w:hint="default"/>
                <w:lang w:val="en-US" w:eastAsia="zh-CN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白鹤镇铁谢村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2024.03-2024.10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精品民宿5套、庭院餐饮5套、乡村书吧、咖啡吧、音乐酒吧3套、文创工坊10套、相关配套设施。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白鹤镇29个集体经济和1129户脱贫户及171户监测对象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建闲置民宅改造民宿项目，依托沿黄生态廊道由专业文旅团队进行运营（目前已有意向团队）项目每年收益预计58.8万元，可壮大铁谢村集体经济，保障脱贫户（监测户）取得稳定收益，并带动本村及周边群众增收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项目收益的30%部分用于壮大29个村村级集体经济，70%部分可以用于全镇29个行政村（社区）脱贫户及监测对象通过设置村级公益性岗位、参与项目务工等方式差异化增收，具体分配方案由镇党政联系会议研究决定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9" w:hRule="atLeast"/>
          <w:jc w:val="center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2024年度孟津区小浪底镇马屯社区仓储集体经济项目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农产品仓储保鲜冷链基础设施建设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小浪底镇马屯社区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2024.04-2024.07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小浪底镇申请财政资金500万元，在马屯社区新建1个总面积1000平方米仓储及400平方米配套设施用房和配套设施。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小浪底镇28个村集体经济和1130户脱贫户及178户监测对象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浪底镇申请财政资金500万元，在马屯社区新建1个总面积1000平方米仓储及400平方米配套设施用房和配套设施。建成后，产权归小浪底镇政府所有，由运营商承租运营，年收益不低于项目投资额的6%。该项目比较稳定，综合收益率较高,群众对项目实施效果非常满意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项目期内，项目收益通过小浪底镇党政联席会将项目年收益的70%用于小浪底镇脱贫户及监测对象差异化收益，其余收益30%分配给各村用于项目管理、村级集体公益事业等。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9" w:hRule="atLeast"/>
          <w:jc w:val="center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2024年度孟津区麻屯镇单寨村智能云仓集体经济项目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农产品仓储保鲜冷链基础设施建设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麻屯镇单寨村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2024.01-2024.12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建设面积约为5000平方米的智能云仓集体经济项目，分为智能自动生产车间、存储仓库及销售区，配套设施及设备。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全镇22个村集体经济和671户脱贫户、93户监测对象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面积约为5000平方米的智能云仓集体经济项目，分为智能自动生产车间、存储仓库及销售区等，主体结构为钢混结构，5000平方米地坪为厚度0.2米混凝土地坪。建设与之配套的变压器、院墙、库房门窗、大门、门卫室、厕所，修建排水设施、消防设施齐全等项目建成后，用于食品生产储存、包装、线上销售等，每年收益不低于投入资金的6%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收益用于带动麻屯镇22个村集体经济发展及村级公益事业，由各村制定具体收益分配方案，奖补激励或开发村级公益性岗位，来带动脱贫户和监测对象增收。另外可以对全区花生、花椒种植大户签字收购协议，使全区花生、花椒种植实现种植、加工、销售一体化。</w:t>
            </w:r>
          </w:p>
        </w:tc>
      </w:tr>
    </w:tbl>
    <w:p>
      <w:pPr>
        <w:pStyle w:val="5"/>
        <w:rPr>
          <w:rFonts w:hint="default" w:ascii="Times New Roman" w:hAnsi="Times New Roman" w:cs="Times New Roman"/>
          <w:lang w:val="en-US" w:eastAsia="zh-CN"/>
        </w:rPr>
        <w:sectPr>
          <w:footerReference r:id="rId4" w:type="default"/>
          <w:pgSz w:w="16838" w:h="11906" w:orient="landscape"/>
          <w:pgMar w:top="1531" w:right="1814" w:bottom="1531" w:left="1814" w:header="851" w:footer="1304" w:gutter="0"/>
          <w:pgNumType w:fmt="decimal"/>
          <w:cols w:space="0" w:num="1"/>
          <w:rtlGutter w:val="1"/>
          <w:docGrid w:linePitch="312" w:charSpace="0"/>
        </w:sect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pBdr>
          <w:top w:val="single" w:color="auto" w:sz="4" w:space="1"/>
          <w:left w:val="none" w:color="auto" w:sz="0" w:space="4"/>
          <w:bottom w:val="single" w:color="auto" w:sz="4" w:space="1"/>
          <w:right w:val="none" w:color="auto" w:sz="0" w:space="4"/>
        </w:pBdr>
        <w:autoSpaceDE/>
        <w:autoSpaceDN/>
        <w:spacing w:line="600" w:lineRule="exact"/>
        <w:jc w:val="center"/>
        <w:textAlignment w:val="center"/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>中共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</w:rPr>
        <w:t>洛阳市孟津区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>委农村工作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</w:rPr>
        <w:t>领导小组办公室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</w:rPr>
        <w:t xml:space="preserve"> 202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</w:rPr>
        <w:t>日印</w:t>
      </w:r>
      <w:r>
        <w:rPr>
          <w:rFonts w:hint="default" w:ascii="Times New Roman" w:hAnsi="Times New Roman" w:eastAsia="仿宋_GB2312" w:cs="Times New Roman"/>
          <w:spacing w:val="-11"/>
          <w:w w:val="100"/>
          <w:sz w:val="28"/>
          <w:szCs w:val="28"/>
          <w:lang w:val="en-US" w:eastAsia="zh-CN"/>
        </w:rPr>
        <w:t>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-272415</wp:posOffset>
                </wp:positionH>
                <wp:positionV relativeFrom="paragraph">
                  <wp:posOffset>242570</wp:posOffset>
                </wp:positionV>
                <wp:extent cx="933450" cy="495300"/>
                <wp:effectExtent l="4445" t="4445" r="14605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699770" y="9585960"/>
                          <a:ext cx="93345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.45pt;margin-top:19.1pt;height:39pt;width:73.5pt;z-index:251662336;mso-width-relative:page;mso-height-relative:page;" fillcolor="#FFFFFF [3201]" filled="t" stroked="t" coordsize="21600,21600" o:gfxdata="UEsFBgAAAAAAAAAAAAAAAAAAAAAAAFBLAwQKAAAAAACHTuJAAAAAAAAAAAAAAAAABAAAAGRycy9Q&#10;SwMEFAAAAAgAh07iQD4PHQ3ZAAAACgEAAA8AAABkcnMvZG93bnJldi54bWxNj8FuwjAMhu+TeIfI&#10;k3aDpB1DpTTlgLTbNKkM2I6hMW21xilN2rK3XzhtN1v+9Pv7s+3NtGzE3jWWJEQLAQyptLqhSsLh&#10;43WeAHNekVatJZTwgw62+ewhU6m2ExU47n3FQgi5VEmove9Szl1Zo1FuYTukcLvY3igf1r7iuldT&#10;CDctj4VYcaMaCh9q1eGuxvJ7PxgJ7+Ngj9Xppfykr6lwyeVavCVXKZ8eI7EB5vHm/2C46wd1yIPT&#10;2Q6kHWslzJfxOqASnpMY2B0QywjYOQzRKgaeZ/x/hfwXUEsDBBQAAAAIAIdO4kBCoPmDRAIAAIYE&#10;AAAOAAAAZHJzL2Uyb0RvYy54bWytVM1uGjEQvlfqO1i+l4UAIYuyRJSIqlLURKJVz8Zrw0pe27UN&#10;u+kDtG/QUy+997l4jn42S5L+nKJyMDP+PsYz38xwedXWiuyF85XRBR30+pQIzU1Z6U1BP7xfvrqg&#10;xAemS6aMFgW9F55ezV6+uGzsVJyZrVGlcARBtJ82tqDbEOw0yzzfipr5nrFCA5TG1SzAdZusdKxB&#10;9FplZ/3+edYYV1pnuPAet9dHkM5SfCkFD7dSehGIKihyC+l06VzHM5tdsunGMbuteJcGe0YWNas0&#10;Hn0Idc0CIztX/RWqrrgz3sjQ46bOjJQVF6kGVDPo/1HNasusSLVAHG8fZPL/Lyx/t79zpCoLOqFE&#10;sxotOnz7evj+8/DjC5lEeRrrp2CtLHihfW3agga3EyfI4z4W3kpXx2+UREA5z/PJBILfFzQfX4zz&#10;805q0QbCgefD4WgMnIMwysfDfsKzxzjW+fBGmJpEo6AOnUwCs/2ND0gL1BMlPuuNqsplpVRy3Ga9&#10;UI7sGbq+TJ+YLn7yG01p0iDTIfJ4XggEVBpxo0RHHaIV2nXb6bY25T1kc+Y4d97yZYVybpgPd8xh&#10;0KAAlifc4pDKIBvTWZRsjfv8r/vIR/+BUtJgcAvqP+2YE5SotxqTkQ9GozjpyRmNJ2dw3FNk/RTR&#10;u3phoNIAa2p5MiM/qJMpnak/Ysfm8VXJlMdDTHO8jzk4mYsArwOxq1zM5w8+5tyycKNXlneTE8XW&#10;Zr4LRlaplVG1o1SdmBj21K5uMeM2PfUT6/HvY/Y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FgAAAGRycy9QSwECFAAUAAAACACHTuJAPg8d&#10;DdkAAAAKAQAADwAAAAAAAAABACAAAAA4AAAAZHJzL2Rvd25yZXYueG1sUEsBAhQAFAAAAAgAh07i&#10;QEKg+YNEAgAAhgQAAA4AAAAAAAAAAQAgAAAAPgEAAGRycy9lMm9Eb2MueG1sUEsFBgAAAAAGAAYA&#10;WQEAAPQ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5" w:type="default"/>
      <w:pgSz w:w="11906" w:h="16838"/>
      <w:pgMar w:top="1814" w:right="1531" w:bottom="1814" w:left="1531" w:header="851" w:footer="1304" w:gutter="0"/>
      <w:pgNumType w:fmt="decimal"/>
      <w:cols w:space="0" w:num="1"/>
      <w:rtlGutter w:val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1" w:usb3="00000000" w:csb0="400001BF" w:csb1="DFF7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_GBK">
    <w:altName w:val="方正书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Times New Roman" w:hAnsi="Times New Roman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WNvf24AQAAYAMAAA4AAABkcnMv&#10;ZTJvRG9jLnhtbK1TS27bMBDdB8gdCO5ryV4UhmA6SBCkKBA0BZIcgKZIiwB/GNKWfIHmBl11033P&#10;5XNkSFlO2u6Kbkbz45t5M6PV1WAN2UuI2jtG57OaEumEb7XbMvr8dPdhSUlM3LXceCcZPchIr9aX&#10;F6s+NHLhO29aCQRBXGz6wGiXUmiqKopOWh5nPkiHQeXB8oQmbKsWeI/o1lSLuv5Y9R7aAF7IGNF7&#10;OwbpuuArJUV6UCrKRAyj2FsqEorcZFmtV7zZAg+dFqc2+D90Ybl2WPQMdcsTJzvQf0FZLcBHr9JM&#10;eFt5pbSQhQOymdd/sHnseJCFCw4nhvOY4v+DFV/2X4HoltEFJY5bXNHx+8vxx6/jz29knsfTh9hg&#10;1mPAvDTc+IHRBDs5hSL6M/FBgc1fpEQwBWd9OM9XDokIdM6Xi+WyxpDA2GRgierteYCYPklvSVYY&#10;BVxgmSvf38c0pk4puZrzd9qYskTjfnMg5uiR5QpOrzOZseOspWEznBhufHtAgj1eAqMOT5US89nh&#10;oPPRTApMymZSdgH0tsNGFTcxr4oj/PUuYVul21xlhEaW2cA1Fr6nk8t38t4uWW8/xv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zql5uc8AAAAFAQAADwAAAAAAAAABACAAAAA4AAAAZHJzL2Rvd25y&#10;ZXYueG1sUEsBAhQAFAAAAAgAh07iQNWNvf24AQAAYAMAAA4AAAAAAAAAAQAgAAAAN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Times New Roman" w:hAnsi="Times New Roman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1m9hC5AQAAYAMAAA4AAABkcnMv&#10;ZTJvRG9jLnhtbK1TS27bMBDdB+gdCO5ryQ4QGILpoEWQokDQFkhyAJoiLQL8YUhb8gXaG3TVTfc9&#10;l8+RIWXZabsruhnNj2/mzYxWt4M1ZC8hau8Ync9qSqQTvtVuy+jz0/3bJSUxcddy451k9CAjvV2/&#10;uVr1oZEL33nTSiAI4mLTB0a7lEJTVVF00vI480E6DCoPlic0YVu1wHtEt6Za1PVN1XtoA3ghY0Tv&#10;3Rik64KvlBTps1JRJmIYxd5SkVDkJstqveLNFnjotDi1wf+hC8u1w6JnqDueONmB/gvKagE+epVm&#10;wtvKK6WFLByQzbz+g81jx4MsXHA4MZzHFP8frPi0/wJEt4xeU+K4xRUdv387/vh1/PmVXOfx9CE2&#10;mPUYMC8N7/3AaIKdnEIR/Zn4oMDmL1IimIKzPpznK4dEBDrny8VyWWNIYGwysER1eR4gpg/SW5IV&#10;RgEXWObK9w8xjalTSq7m/L02pizRuN8ciDl6ZLmC0+tMZuw4a2nYDCeGG98ekGCPl8Cow1OlxHx0&#10;OOh8NJMCk7KZlF0Ave2wUcVNzKviCP9ul7Ct0m2uMkIjy2zgGgvf08nlO3ltl6zLj7F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DNZvYQuQEAAGA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71BE5"/>
    <w:multiLevelType w:val="singleLevel"/>
    <w:tmpl w:val="7B671BE5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ZDM0OWI2OWU1ODQ5M2E3ZjI0ODZkNzBjYzQ4MTEifQ=="/>
  </w:docVars>
  <w:rsids>
    <w:rsidRoot w:val="00F64E5B"/>
    <w:rsid w:val="000D4DA0"/>
    <w:rsid w:val="00151623"/>
    <w:rsid w:val="0016373D"/>
    <w:rsid w:val="001755C4"/>
    <w:rsid w:val="001910F9"/>
    <w:rsid w:val="001B62FC"/>
    <w:rsid w:val="001E4474"/>
    <w:rsid w:val="003468C8"/>
    <w:rsid w:val="00346BE8"/>
    <w:rsid w:val="003D37B9"/>
    <w:rsid w:val="003F3B78"/>
    <w:rsid w:val="004340CB"/>
    <w:rsid w:val="004B7A79"/>
    <w:rsid w:val="00584DC4"/>
    <w:rsid w:val="005C2258"/>
    <w:rsid w:val="00671E19"/>
    <w:rsid w:val="007A5D0C"/>
    <w:rsid w:val="008740AF"/>
    <w:rsid w:val="008B0068"/>
    <w:rsid w:val="008D791D"/>
    <w:rsid w:val="00951FB9"/>
    <w:rsid w:val="009775F3"/>
    <w:rsid w:val="0098512B"/>
    <w:rsid w:val="009B7AB7"/>
    <w:rsid w:val="009B7ABA"/>
    <w:rsid w:val="00A63818"/>
    <w:rsid w:val="00AA2B8B"/>
    <w:rsid w:val="00AD4365"/>
    <w:rsid w:val="00AF23C0"/>
    <w:rsid w:val="00B433D1"/>
    <w:rsid w:val="00C13DBB"/>
    <w:rsid w:val="00C566A2"/>
    <w:rsid w:val="00C566D2"/>
    <w:rsid w:val="00CA1598"/>
    <w:rsid w:val="00CF6EA2"/>
    <w:rsid w:val="00D06695"/>
    <w:rsid w:val="00D2431D"/>
    <w:rsid w:val="00DD6226"/>
    <w:rsid w:val="00DE3098"/>
    <w:rsid w:val="00F03819"/>
    <w:rsid w:val="00F32333"/>
    <w:rsid w:val="00F64E5B"/>
    <w:rsid w:val="00F85245"/>
    <w:rsid w:val="00FD1E59"/>
    <w:rsid w:val="02A12CE5"/>
    <w:rsid w:val="03C760C2"/>
    <w:rsid w:val="03DA63CB"/>
    <w:rsid w:val="046A53BC"/>
    <w:rsid w:val="047F64E1"/>
    <w:rsid w:val="04AD7132"/>
    <w:rsid w:val="05807878"/>
    <w:rsid w:val="058E3037"/>
    <w:rsid w:val="062B5819"/>
    <w:rsid w:val="0703012D"/>
    <w:rsid w:val="08114650"/>
    <w:rsid w:val="0821501B"/>
    <w:rsid w:val="08FF094D"/>
    <w:rsid w:val="093002F4"/>
    <w:rsid w:val="09874521"/>
    <w:rsid w:val="0989575A"/>
    <w:rsid w:val="099A7BB3"/>
    <w:rsid w:val="0A040E1C"/>
    <w:rsid w:val="0A772AEC"/>
    <w:rsid w:val="0A937950"/>
    <w:rsid w:val="0BC81621"/>
    <w:rsid w:val="0BF4406D"/>
    <w:rsid w:val="0D2668A6"/>
    <w:rsid w:val="0DCA510B"/>
    <w:rsid w:val="0E0A32BE"/>
    <w:rsid w:val="0E6D73E3"/>
    <w:rsid w:val="0EB6594F"/>
    <w:rsid w:val="0EC71B6D"/>
    <w:rsid w:val="0F910E6F"/>
    <w:rsid w:val="106838D1"/>
    <w:rsid w:val="10DE3499"/>
    <w:rsid w:val="11695020"/>
    <w:rsid w:val="12C76FB7"/>
    <w:rsid w:val="13862979"/>
    <w:rsid w:val="138959E3"/>
    <w:rsid w:val="139D15B0"/>
    <w:rsid w:val="14FB46BE"/>
    <w:rsid w:val="17083FDC"/>
    <w:rsid w:val="17BFFAB6"/>
    <w:rsid w:val="17DF4C22"/>
    <w:rsid w:val="18117EA0"/>
    <w:rsid w:val="186835C0"/>
    <w:rsid w:val="18F648D4"/>
    <w:rsid w:val="1AFD5B4A"/>
    <w:rsid w:val="1B1D7351"/>
    <w:rsid w:val="1C3428CE"/>
    <w:rsid w:val="1C427076"/>
    <w:rsid w:val="1C7C3F65"/>
    <w:rsid w:val="1D5F15CA"/>
    <w:rsid w:val="1DD23391"/>
    <w:rsid w:val="1E9A2695"/>
    <w:rsid w:val="1EE438B6"/>
    <w:rsid w:val="1EF47C1B"/>
    <w:rsid w:val="1F2468DF"/>
    <w:rsid w:val="1FEB64B1"/>
    <w:rsid w:val="20B33CE9"/>
    <w:rsid w:val="20C932CD"/>
    <w:rsid w:val="20FB3431"/>
    <w:rsid w:val="21405267"/>
    <w:rsid w:val="222702AA"/>
    <w:rsid w:val="226338A3"/>
    <w:rsid w:val="22EA442A"/>
    <w:rsid w:val="23C12F77"/>
    <w:rsid w:val="23C965BB"/>
    <w:rsid w:val="25572B78"/>
    <w:rsid w:val="25926C41"/>
    <w:rsid w:val="25E3232D"/>
    <w:rsid w:val="26453BA4"/>
    <w:rsid w:val="275E5247"/>
    <w:rsid w:val="27627DF4"/>
    <w:rsid w:val="27E12FB7"/>
    <w:rsid w:val="27EC295F"/>
    <w:rsid w:val="280C0EFD"/>
    <w:rsid w:val="28377363"/>
    <w:rsid w:val="28875F7B"/>
    <w:rsid w:val="2893554F"/>
    <w:rsid w:val="28E1533D"/>
    <w:rsid w:val="28F06C19"/>
    <w:rsid w:val="29357935"/>
    <w:rsid w:val="29BF7B96"/>
    <w:rsid w:val="29DD53D5"/>
    <w:rsid w:val="2A3A138D"/>
    <w:rsid w:val="2A5C1D4D"/>
    <w:rsid w:val="2A8459F2"/>
    <w:rsid w:val="2B233419"/>
    <w:rsid w:val="2B755D34"/>
    <w:rsid w:val="2B863CB6"/>
    <w:rsid w:val="2C2861F5"/>
    <w:rsid w:val="2CDA39DA"/>
    <w:rsid w:val="2E0A551A"/>
    <w:rsid w:val="2E60513A"/>
    <w:rsid w:val="2E650175"/>
    <w:rsid w:val="2E6F2DE9"/>
    <w:rsid w:val="2EDA2FE4"/>
    <w:rsid w:val="2FAF03F5"/>
    <w:rsid w:val="305B47AF"/>
    <w:rsid w:val="306A0A31"/>
    <w:rsid w:val="308B7F9E"/>
    <w:rsid w:val="30A86DBF"/>
    <w:rsid w:val="30F25855"/>
    <w:rsid w:val="31650AFC"/>
    <w:rsid w:val="317B031F"/>
    <w:rsid w:val="31812971"/>
    <w:rsid w:val="32224152"/>
    <w:rsid w:val="33D15AEE"/>
    <w:rsid w:val="33F979CA"/>
    <w:rsid w:val="341B61A7"/>
    <w:rsid w:val="347A7086"/>
    <w:rsid w:val="34F35B28"/>
    <w:rsid w:val="354E2190"/>
    <w:rsid w:val="357B4F1A"/>
    <w:rsid w:val="35D358DB"/>
    <w:rsid w:val="35FA0FB8"/>
    <w:rsid w:val="364F1CBE"/>
    <w:rsid w:val="39893023"/>
    <w:rsid w:val="39FD7D63"/>
    <w:rsid w:val="3A150AE2"/>
    <w:rsid w:val="3B2D7813"/>
    <w:rsid w:val="3B491D70"/>
    <w:rsid w:val="3C243C3B"/>
    <w:rsid w:val="3D5B7F56"/>
    <w:rsid w:val="3DED304D"/>
    <w:rsid w:val="3E6F63F0"/>
    <w:rsid w:val="3E7C79FF"/>
    <w:rsid w:val="3E7E5FBF"/>
    <w:rsid w:val="3E920012"/>
    <w:rsid w:val="3EA535DD"/>
    <w:rsid w:val="3ED82F01"/>
    <w:rsid w:val="3EF70024"/>
    <w:rsid w:val="403C174C"/>
    <w:rsid w:val="411A6B1C"/>
    <w:rsid w:val="41560B72"/>
    <w:rsid w:val="41EF3D00"/>
    <w:rsid w:val="427D1E38"/>
    <w:rsid w:val="429D4FC3"/>
    <w:rsid w:val="42B77FD1"/>
    <w:rsid w:val="42C6780A"/>
    <w:rsid w:val="434A043B"/>
    <w:rsid w:val="43F8404A"/>
    <w:rsid w:val="45057544"/>
    <w:rsid w:val="45220F6C"/>
    <w:rsid w:val="45B20519"/>
    <w:rsid w:val="45EA3BD2"/>
    <w:rsid w:val="464070C7"/>
    <w:rsid w:val="47D50456"/>
    <w:rsid w:val="49E035A5"/>
    <w:rsid w:val="4A0023A2"/>
    <w:rsid w:val="4AE572CB"/>
    <w:rsid w:val="4B081861"/>
    <w:rsid w:val="4C1F0214"/>
    <w:rsid w:val="4C853AB3"/>
    <w:rsid w:val="4C8F044C"/>
    <w:rsid w:val="4D35788E"/>
    <w:rsid w:val="4D4128AF"/>
    <w:rsid w:val="4DA91C2A"/>
    <w:rsid w:val="4DAC4F42"/>
    <w:rsid w:val="4E9E55BF"/>
    <w:rsid w:val="4EE7471F"/>
    <w:rsid w:val="4F21432B"/>
    <w:rsid w:val="4F3A31EF"/>
    <w:rsid w:val="4F545847"/>
    <w:rsid w:val="4FC644F1"/>
    <w:rsid w:val="502142D2"/>
    <w:rsid w:val="50C56C78"/>
    <w:rsid w:val="513A32BA"/>
    <w:rsid w:val="513A7D71"/>
    <w:rsid w:val="517A3245"/>
    <w:rsid w:val="521D779D"/>
    <w:rsid w:val="52DC0218"/>
    <w:rsid w:val="52F653E4"/>
    <w:rsid w:val="53A37CD3"/>
    <w:rsid w:val="53C02194"/>
    <w:rsid w:val="55933336"/>
    <w:rsid w:val="56600594"/>
    <w:rsid w:val="56C63F0F"/>
    <w:rsid w:val="5808792C"/>
    <w:rsid w:val="585F612D"/>
    <w:rsid w:val="58C6010C"/>
    <w:rsid w:val="58F0426B"/>
    <w:rsid w:val="59BD2D11"/>
    <w:rsid w:val="5AFE3B8D"/>
    <w:rsid w:val="5BBC75A4"/>
    <w:rsid w:val="5BBE0F87"/>
    <w:rsid w:val="5C180168"/>
    <w:rsid w:val="5CAE304E"/>
    <w:rsid w:val="5D5C5EC1"/>
    <w:rsid w:val="5D645EF6"/>
    <w:rsid w:val="5EF3571A"/>
    <w:rsid w:val="5FB105A8"/>
    <w:rsid w:val="60AE1867"/>
    <w:rsid w:val="61AA7611"/>
    <w:rsid w:val="62EC2264"/>
    <w:rsid w:val="653003C3"/>
    <w:rsid w:val="66366843"/>
    <w:rsid w:val="66ED15E2"/>
    <w:rsid w:val="66EE24CE"/>
    <w:rsid w:val="678278F4"/>
    <w:rsid w:val="67AA6254"/>
    <w:rsid w:val="67E21931"/>
    <w:rsid w:val="67F31CAE"/>
    <w:rsid w:val="686209B0"/>
    <w:rsid w:val="68E819D9"/>
    <w:rsid w:val="69163B25"/>
    <w:rsid w:val="696E2D43"/>
    <w:rsid w:val="6A191CFF"/>
    <w:rsid w:val="6A283065"/>
    <w:rsid w:val="6A541992"/>
    <w:rsid w:val="6A704B14"/>
    <w:rsid w:val="6A8B7B48"/>
    <w:rsid w:val="6B2524D1"/>
    <w:rsid w:val="6BA55CE6"/>
    <w:rsid w:val="6BDB75D3"/>
    <w:rsid w:val="6BDC17A0"/>
    <w:rsid w:val="6BF40694"/>
    <w:rsid w:val="6BFA0C31"/>
    <w:rsid w:val="6C21640D"/>
    <w:rsid w:val="6D5B09CB"/>
    <w:rsid w:val="6D9F3805"/>
    <w:rsid w:val="6DCF0978"/>
    <w:rsid w:val="6DD827E5"/>
    <w:rsid w:val="6E5946A3"/>
    <w:rsid w:val="6E671A19"/>
    <w:rsid w:val="6E8D5349"/>
    <w:rsid w:val="6F016E58"/>
    <w:rsid w:val="6F45493C"/>
    <w:rsid w:val="6F841A77"/>
    <w:rsid w:val="6FD7768E"/>
    <w:rsid w:val="704E3A82"/>
    <w:rsid w:val="70625B79"/>
    <w:rsid w:val="70A2542A"/>
    <w:rsid w:val="70AC0912"/>
    <w:rsid w:val="70B84386"/>
    <w:rsid w:val="70DA1530"/>
    <w:rsid w:val="718F2EDC"/>
    <w:rsid w:val="71B018C6"/>
    <w:rsid w:val="71C56968"/>
    <w:rsid w:val="7276113B"/>
    <w:rsid w:val="729060C9"/>
    <w:rsid w:val="73687AD3"/>
    <w:rsid w:val="741760F9"/>
    <w:rsid w:val="74257F85"/>
    <w:rsid w:val="74680E4A"/>
    <w:rsid w:val="761A0C64"/>
    <w:rsid w:val="76D40AB5"/>
    <w:rsid w:val="76D84594"/>
    <w:rsid w:val="77755642"/>
    <w:rsid w:val="792F71B0"/>
    <w:rsid w:val="79AC34FA"/>
    <w:rsid w:val="7A44123C"/>
    <w:rsid w:val="7B346BD1"/>
    <w:rsid w:val="7B4F359E"/>
    <w:rsid w:val="7DBF2092"/>
    <w:rsid w:val="7DD155C2"/>
    <w:rsid w:val="7E5F5E41"/>
    <w:rsid w:val="7E617E0B"/>
    <w:rsid w:val="7EF9684D"/>
    <w:rsid w:val="7F926DD8"/>
    <w:rsid w:val="7FC50C67"/>
    <w:rsid w:val="BF5B5DE0"/>
    <w:rsid w:val="DF5F8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5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大标宋简体" w:hAnsi="方正大标宋简体" w:eastAsia="方正大标宋简体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正文1"/>
    <w:next w:val="4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customStyle="1" w:styleId="4">
    <w:name w:val="正文缩进1"/>
    <w:basedOn w:val="3"/>
    <w:qFormat/>
    <w:uiPriority w:val="99"/>
    <w:pPr>
      <w:spacing w:before="0" w:after="120"/>
      <w:ind w:left="420" w:firstLine="0"/>
    </w:pPr>
  </w:style>
  <w:style w:type="paragraph" w:styleId="5">
    <w:name w:val="Subtitle"/>
    <w:basedOn w:val="1"/>
    <w:next w:val="1"/>
    <w:qFormat/>
    <w:locked/>
    <w:uiPriority w:val="99"/>
    <w:pPr>
      <w:widowControl/>
      <w:wordWrap w:val="0"/>
      <w:spacing w:after="60"/>
      <w:jc w:val="center"/>
    </w:pPr>
    <w:rPr>
      <w:rFonts w:ascii="Times New Roman" w:hAnsi="Times New Roman"/>
      <w:kern w:val="0"/>
      <w:sz w:val="24"/>
      <w:szCs w:val="20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正文文本 (2)_"/>
    <w:basedOn w:val="10"/>
    <w:link w:val="12"/>
    <w:qFormat/>
    <w:locked/>
    <w:uiPriority w:val="99"/>
    <w:rPr>
      <w:rFonts w:ascii="MingLiU" w:hAnsi="MingLiU" w:eastAsia="MingLiU" w:cs="Times New Roman"/>
      <w:spacing w:val="20"/>
      <w:sz w:val="30"/>
      <w:szCs w:val="30"/>
      <w:lang w:bidi="ar-SA"/>
    </w:rPr>
  </w:style>
  <w:style w:type="paragraph" w:customStyle="1" w:styleId="12">
    <w:name w:val="正文文本 (2)"/>
    <w:basedOn w:val="1"/>
    <w:link w:val="11"/>
    <w:qFormat/>
    <w:uiPriority w:val="99"/>
    <w:pPr>
      <w:shd w:val="clear" w:color="auto" w:fill="FFFFFF"/>
      <w:spacing w:before="540" w:line="600" w:lineRule="exact"/>
      <w:ind w:hanging="1040"/>
      <w:jc w:val="distribute"/>
    </w:pPr>
    <w:rPr>
      <w:rFonts w:ascii="MingLiU" w:hAnsi="MingLiU" w:eastAsia="MingLiU"/>
      <w:spacing w:val="20"/>
      <w:kern w:val="0"/>
      <w:sz w:val="30"/>
      <w:szCs w:val="30"/>
    </w:rPr>
  </w:style>
  <w:style w:type="character" w:customStyle="1" w:styleId="13">
    <w:name w:val="正文文本 (2) + 间距 3 pt"/>
    <w:basedOn w:val="11"/>
    <w:qFormat/>
    <w:uiPriority w:val="99"/>
    <w:rPr>
      <w:spacing w:val="60"/>
    </w:rPr>
  </w:style>
  <w:style w:type="character" w:customStyle="1" w:styleId="14">
    <w:name w:val="font1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5">
    <w:name w:val="font7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single"/>
    </w:rPr>
  </w:style>
  <w:style w:type="character" w:customStyle="1" w:styleId="16">
    <w:name w:val="font51"/>
    <w:basedOn w:val="10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7">
    <w:name w:val="font21"/>
    <w:basedOn w:val="10"/>
    <w:qFormat/>
    <w:uiPriority w:val="0"/>
    <w:rPr>
      <w:rFonts w:hint="eastAsia" w:ascii="黑体" w:hAnsi="宋体" w:eastAsia="黑体" w:cs="黑体"/>
      <w:color w:val="FF0000"/>
      <w:sz w:val="20"/>
      <w:szCs w:val="20"/>
      <w:u w:val="none"/>
    </w:rPr>
  </w:style>
  <w:style w:type="character" w:customStyle="1" w:styleId="18">
    <w:name w:val="font01"/>
    <w:basedOn w:val="10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9">
    <w:name w:val="font14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font9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6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single"/>
    </w:rPr>
  </w:style>
  <w:style w:type="character" w:customStyle="1" w:styleId="23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4">
    <w:name w:val="font10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7580</Words>
  <Characters>8689</Characters>
  <Lines>16</Lines>
  <Paragraphs>4</Paragraphs>
  <TotalTime>12</TotalTime>
  <ScaleCrop>false</ScaleCrop>
  <LinksUpToDate>false</LinksUpToDate>
  <CharactersWithSpaces>8704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1</dc:creator>
  <cp:lastModifiedBy>wanghongxia</cp:lastModifiedBy>
  <cp:lastPrinted>2020-04-08T18:01:00Z</cp:lastPrinted>
  <dcterms:modified xsi:type="dcterms:W3CDTF">2024-11-14T17:13:32Z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D73CA3211A9B4EF6AF084F3ED87EF135_13</vt:lpwstr>
  </property>
</Properties>
</file>