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  <w:lang w:val="en-US" w:eastAsia="zh-CN"/>
        </w:rPr>
        <w:t>2023年度孟津区人力资源服务机构年度报告情况公示表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right="0"/>
        <w:textAlignment w:val="auto"/>
        <w:outlineLvl w:val="9"/>
        <w:rPr>
          <w:rFonts w:hint="default"/>
          <w:kern w:val="0"/>
          <w:lang w:val="en-US" w:eastAsia="zh-CN"/>
        </w:rPr>
      </w:pPr>
    </w:p>
    <w:tbl>
      <w:tblPr>
        <w:tblStyle w:val="6"/>
        <w:tblW w:w="14518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7"/>
        <w:gridCol w:w="3372"/>
        <w:gridCol w:w="2220"/>
        <w:gridCol w:w="1413"/>
        <w:gridCol w:w="1992"/>
        <w:gridCol w:w="2313"/>
        <w:gridCol w:w="1290"/>
        <w:gridCol w:w="1261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0" w:hRule="exact"/>
          <w:jc w:val="center"/>
        </w:trPr>
        <w:tc>
          <w:tcPr>
            <w:tcW w:w="6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机构名称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统一社会信用代码</w:t>
            </w: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法定代表人（负责人）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经营地址</w:t>
            </w: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许可/备案编号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eastAsia="zh-CN"/>
              </w:rPr>
              <w:t>受到行政处罚情况</w:t>
            </w: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eastAsia="zh-CN"/>
              </w:rPr>
              <w:t>年度报告是否通过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3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孟津县富民劳务服务有限公司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914103227850620916</w:t>
            </w: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任军伟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孟津区城桂花路</w:t>
            </w: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（豫）人服证字〔2005〕第0308000113号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无</w:t>
            </w: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eastAsia="zh-CN"/>
              </w:rPr>
              <w:t>正在整改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3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洛阳卓航劳务服务有限公司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91410322574985830P</w:t>
            </w: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  梅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孟津区棉麻公司三楼</w:t>
            </w: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（豫）人服证字〔2011〕第0308000113号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eastAsia="zh-CN"/>
              </w:rPr>
              <w:t>通过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3</w:t>
            </w:r>
          </w:p>
        </w:tc>
        <w:tc>
          <w:tcPr>
            <w:tcW w:w="3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孟津县合心顺人力资源服务有限公司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91410322MA9FKHYK2H</w:t>
            </w: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杨林林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孟津区城关镇小浪底大道亚威金地25号楼商铺南1区25号</w:t>
            </w: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（豫）人服证字〔2020〕第0308000213号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正在整改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4</w:t>
            </w:r>
          </w:p>
        </w:tc>
        <w:tc>
          <w:tcPr>
            <w:tcW w:w="3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洛阳互信人力资源服务有限公司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91410306MA44K5F81N</w:t>
            </w: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郭双霞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孟津区康乐街道河阳路845号（原公路局一楼）</w:t>
            </w: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（豫）人服证字〔2020〕第0308000113号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无</w:t>
            </w: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eastAsia="zh-CN"/>
              </w:rPr>
              <w:t>通过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5</w:t>
            </w:r>
          </w:p>
        </w:tc>
        <w:tc>
          <w:tcPr>
            <w:tcW w:w="3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孟津县和顺劳务派遣有限公司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914103226794572761</w:t>
            </w: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秦亚芹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孟津区城关镇英才路15号</w:t>
            </w: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（豫）人服证字〔2020〕第0308000312号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无</w:t>
            </w: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eastAsia="zh-CN"/>
              </w:rPr>
              <w:t>通过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6</w:t>
            </w:r>
          </w:p>
        </w:tc>
        <w:tc>
          <w:tcPr>
            <w:tcW w:w="3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孟津县牛职众信职业中介服务部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91410322MA9F2BQB3B</w:t>
            </w: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李向阳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孟津区城关镇黄河大道新汽车站东300米门面房</w:t>
            </w: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（豫）人服证字〔2021〕第0308000113号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eastAsia="zh-CN"/>
              </w:rPr>
              <w:t>正在整改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7</w:t>
            </w:r>
          </w:p>
        </w:tc>
        <w:tc>
          <w:tcPr>
            <w:tcW w:w="3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孟津县海潺人力资源服务有限公司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91410322MA9GKYDTXC</w:t>
            </w: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崔瑞东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孟津区城关镇黄河大道306号、321号</w:t>
            </w: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（豫）人服证字〔2021〕第0308000213号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无</w:t>
            </w: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eastAsia="zh-CN"/>
              </w:rPr>
              <w:t>通过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8</w:t>
            </w:r>
          </w:p>
        </w:tc>
        <w:tc>
          <w:tcPr>
            <w:tcW w:w="3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孟津县然然职业中介服务有限公司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91410322MA46GN7UXH</w:t>
            </w: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刘宝才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孟津区城关镇黄河大道302号</w:t>
            </w: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（豫）人服证字〔2022〕第0308000123号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无</w:t>
            </w: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eastAsia="zh-CN"/>
              </w:rPr>
              <w:t>通过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9</w:t>
            </w:r>
          </w:p>
        </w:tc>
        <w:tc>
          <w:tcPr>
            <w:tcW w:w="3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孟津县诚嘉职业中介服务部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92410322MA9K255J3J</w:t>
            </w: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孔变丽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孟津区城关镇联盟路中段10号</w:t>
            </w: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（豫）人服证字〔2022〕第0308000323号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无</w:t>
            </w: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eastAsia="zh-CN"/>
              </w:rPr>
              <w:t>正在整改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10</w:t>
            </w:r>
          </w:p>
        </w:tc>
        <w:tc>
          <w:tcPr>
            <w:tcW w:w="3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河南中青人力资源服务有限公司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91410100MA3X99HR5Q</w:t>
            </w: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  磊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孟津区城关镇桂花大道340号一楼105室</w:t>
            </w: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（豫）人服证字（2023）第0308000113号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无</w:t>
            </w: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eastAsia="zh-CN"/>
              </w:rPr>
              <w:t>正在整改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11</w:t>
            </w:r>
          </w:p>
        </w:tc>
        <w:tc>
          <w:tcPr>
            <w:tcW w:w="3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洛阳市孟津区隆信人力资源有限公司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91410308MACLBHAT5R</w:t>
            </w: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权志阳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孟津区康乐街道河阳路845号（原公路局一楼）</w:t>
            </w: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（豫）人服证字（2023）第0308000213号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无</w:t>
            </w: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eastAsia="zh-CN"/>
              </w:rPr>
              <w:t>通过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12</w:t>
            </w:r>
          </w:p>
        </w:tc>
        <w:tc>
          <w:tcPr>
            <w:tcW w:w="3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河南初创人力资源服务有限公司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91410308MACE86MCXX</w:t>
            </w: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刘奇奇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孟津区城关镇桂花东路马步社区门面房306号</w:t>
            </w: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（豫）人服证字（2023）第0308000313号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无</w:t>
            </w: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eastAsia="zh-CN"/>
              </w:rPr>
              <w:t>通过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13</w:t>
            </w:r>
          </w:p>
        </w:tc>
        <w:tc>
          <w:tcPr>
            <w:tcW w:w="3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河南广庄人力资源服务有限责任公司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91410308MA9KHM0Q7B</w:t>
            </w: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梅好昊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孟津区麻屯镇空港产业集聚区建业路02号4号楼416室内</w:t>
            </w: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（豫）人服证字（2023）第0308000413号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无</w:t>
            </w: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eastAsia="zh-CN"/>
              </w:rPr>
              <w:t>通过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-265" w:leftChars="-129" w:firstLine="412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-265" w:leftChars="-129" w:firstLine="412" w:firstLineChars="200"/>
        <w:jc w:val="both"/>
        <w:textAlignment w:val="auto"/>
        <w:outlineLvl w:val="9"/>
        <w:rPr>
          <w:rFonts w:hint="eastAsia" w:ascii="仿宋_GB2312" w:hAnsi="仿宋_GB2312" w:cs="仿宋_GB2312"/>
          <w:spacing w:val="0"/>
          <w:kern w:val="0"/>
          <w:szCs w:val="32"/>
        </w:rPr>
        <w:sectPr>
          <w:footerReference r:id="rId3" w:type="default"/>
          <w:pgSz w:w="16838" w:h="11906" w:orient="landscape"/>
          <w:pgMar w:top="1814" w:right="1020" w:bottom="1814" w:left="1191" w:header="0" w:footer="1191" w:gutter="0"/>
          <w:cols w:space="0" w:num="1"/>
          <w:rtlGutter w:val="0"/>
          <w:docGrid w:type="linesAndChars" w:linePitch="601" w:charSpace="-849"/>
        </w:sectPr>
      </w:pPr>
      <w:r>
        <w:rPr>
          <w:rFonts w:hint="eastAsia" w:ascii="仿宋_GB2312" w:hAnsi="仿宋_GB2312" w:eastAsia="仿宋_GB2312" w:cs="仿宋_GB2312"/>
          <w:kern w:val="0"/>
          <w:sz w:val="21"/>
          <w:szCs w:val="21"/>
        </w:rPr>
        <w:t>说明：</w:t>
      </w:r>
      <w:r>
        <w:rPr>
          <w:rFonts w:hint="eastAsia" w:ascii="仿宋_GB2312" w:hAnsi="仿宋_GB2312" w:eastAsia="仿宋_GB2312" w:cs="仿宋_GB2312"/>
          <w:kern w:val="0"/>
          <w:sz w:val="21"/>
          <w:szCs w:val="21"/>
          <w:lang w:eastAsia="zh-CN"/>
        </w:rPr>
        <w:t>年度报告是否通过，分为</w:t>
      </w:r>
      <w:r>
        <w:rPr>
          <w:rFonts w:hint="eastAsia" w:ascii="仿宋_GB2312" w:hAnsi="仿宋_GB2312" w:eastAsia="仿宋_GB2312" w:cs="仿宋_GB2312"/>
          <w:kern w:val="0"/>
          <w:sz w:val="21"/>
          <w:szCs w:val="21"/>
          <w:lang w:val="en-US" w:eastAsia="zh-CN"/>
        </w:rPr>
        <w:t>3类情形：年报通过、年报未通过、未按规定报送年度报告。各级人社部门公示时，应分别予以公示。</w:t>
      </w:r>
    </w:p>
    <w:p/>
    <w:sectPr>
      <w:footerReference r:id="rId4" w:type="default"/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DB168FFD-D8D9-4D4E-8EB2-40686B56FA90}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07166AEF-8837-4BF3-B400-30691EEAD51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8818EC4E-7DA1-4975-AE80-DF8EC0FD126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="1365" w:h="527" w:hRule="exact" w:wrap="around" w:vAnchor="text" w:hAnchor="page" w:x="13719" w:y="-431"/>
      <w:tabs>
        <w:tab w:val="left" w:pos="1134"/>
      </w:tabs>
      <w:ind w:right="57" w:rightChars="27" w:firstLine="140" w:firstLineChars="50"/>
      <w:rPr>
        <w:rStyle w:val="10"/>
        <w:rFonts w:hint="eastAsia"/>
        <w:sz w:val="28"/>
        <w:szCs w:val="28"/>
      </w:rPr>
    </w:pPr>
    <w:r>
      <w:rPr>
        <w:rStyle w:val="10"/>
        <w:rFonts w:hint="eastAsia"/>
        <w:sz w:val="28"/>
        <w:szCs w:val="28"/>
      </w:rPr>
      <w:t xml:space="preserve">— </w:t>
    </w:r>
    <w:r>
      <w:rPr>
        <w:rFonts w:hint="default" w:ascii="Times New Roman" w:hAnsi="Times New Roman" w:cs="Times New Roman"/>
        <w:sz w:val="28"/>
        <w:szCs w:val="28"/>
      </w:rPr>
      <w:fldChar w:fldCharType="begin"/>
    </w:r>
    <w:r>
      <w:rPr>
        <w:rStyle w:val="10"/>
        <w:rFonts w:hint="default" w:ascii="Times New Roman" w:hAnsi="Times New Roman" w:cs="Times New Roman"/>
        <w:sz w:val="28"/>
        <w:szCs w:val="28"/>
      </w:rPr>
      <w:instrText xml:space="preserve">PAGE  </w:instrText>
    </w:r>
    <w:r>
      <w:rPr>
        <w:rFonts w:hint="default" w:ascii="Times New Roman" w:hAnsi="Times New Roman" w:cs="Times New Roman"/>
        <w:sz w:val="28"/>
        <w:szCs w:val="28"/>
      </w:rPr>
      <w:fldChar w:fldCharType="separate"/>
    </w:r>
    <w:r>
      <w:rPr>
        <w:rStyle w:val="10"/>
        <w:rFonts w:hint="default" w:ascii="Times New Roman" w:hAnsi="Times New Roman" w:cs="Times New Roman"/>
        <w:sz w:val="28"/>
        <w:szCs w:val="28"/>
      </w:rPr>
      <w:t>1</w:t>
    </w:r>
    <w:r>
      <w:rPr>
        <w:rFonts w:hint="default" w:ascii="Times New Roman" w:hAnsi="Times New Roman" w:cs="Times New Roman"/>
        <w:sz w:val="28"/>
        <w:szCs w:val="28"/>
      </w:rPr>
      <w:fldChar w:fldCharType="end"/>
    </w:r>
    <w:r>
      <w:rPr>
        <w:rStyle w:val="10"/>
        <w:rFonts w:hint="eastAsia"/>
        <w:sz w:val="28"/>
        <w:szCs w:val="28"/>
      </w:rPr>
      <w:t xml:space="preserve"> —</w:t>
    </w:r>
  </w:p>
  <w:p>
    <w:pPr>
      <w:tabs>
        <w:tab w:val="left" w:pos="8463"/>
      </w:tabs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8463"/>
      </w:tabs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RmNGIwMGI4YmU3YjFkMzM4OWEwMzc1NGVjMzY5ODcifQ=="/>
  </w:docVars>
  <w:rsids>
    <w:rsidRoot w:val="668D586A"/>
    <w:rsid w:val="00D60B57"/>
    <w:rsid w:val="02F95761"/>
    <w:rsid w:val="03067BCB"/>
    <w:rsid w:val="09054AF4"/>
    <w:rsid w:val="1021564D"/>
    <w:rsid w:val="127669D8"/>
    <w:rsid w:val="1A8028B1"/>
    <w:rsid w:val="1F624B46"/>
    <w:rsid w:val="22FD25F7"/>
    <w:rsid w:val="31A83B2A"/>
    <w:rsid w:val="35157785"/>
    <w:rsid w:val="3E953927"/>
    <w:rsid w:val="4B0C1623"/>
    <w:rsid w:val="4BEE70F5"/>
    <w:rsid w:val="5468488A"/>
    <w:rsid w:val="668D586A"/>
    <w:rsid w:val="672374C5"/>
    <w:rsid w:val="68664B20"/>
    <w:rsid w:val="7AB14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jc w:val="center"/>
    </w:pPr>
    <w:rPr>
      <w:b/>
      <w:color w:val="FF0000"/>
      <w:sz w:val="44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autoRedefine/>
    <w:qFormat/>
    <w:uiPriority w:val="0"/>
    <w:rPr>
      <w:b/>
    </w:rPr>
  </w:style>
  <w:style w:type="character" w:styleId="10">
    <w:name w:val="page number"/>
    <w:basedOn w:val="8"/>
    <w:autoRedefine/>
    <w:qFormat/>
    <w:uiPriority w:val="0"/>
  </w:style>
  <w:style w:type="character" w:customStyle="1" w:styleId="11">
    <w:name w:val="font01"/>
    <w:basedOn w:val="8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2">
    <w:name w:val="font31"/>
    <w:basedOn w:val="8"/>
    <w:autoRedefine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3">
    <w:name w:val="font41"/>
    <w:basedOn w:val="8"/>
    <w:autoRedefine/>
    <w:qFormat/>
    <w:uiPriority w:val="0"/>
    <w:rPr>
      <w:rFonts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2024-03-25T01:17:00Z</dcterms:created>
  <dc:creator>净静境</dc:creator>
  <cp:lastModifiedBy>博弈</cp:lastModifiedBy>
  <dcterms:modified xsi:type="dcterms:W3CDTF">2024-04-01T07:06:01Z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E97D1F5F50C6471B8017F35290FA99E3_13</vt:lpwstr>
  </property>
</Properties>
</file>