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00" w:lineRule="exact"/>
        <w:ind w:firstLine="0" w:firstLineChars="0"/>
        <w:jc w:val="center"/>
        <w:rPr>
          <w:rFonts w:hint="eastAsia" w:ascii="方正小标宋_GBK" w:hAnsi="宋体" w:eastAsia="方正小标宋_GBK" w:cs="宋体"/>
          <w:color w:val="000000"/>
          <w:kern w:val="0"/>
          <w:sz w:val="44"/>
          <w:szCs w:val="44"/>
          <w:lang w:val="en-US" w:eastAsia="zh-CN"/>
        </w:rPr>
      </w:pPr>
      <w:r>
        <w:rPr>
          <w:rFonts w:hint="eastAsia" w:ascii="方正小标宋_GBK" w:hAnsi="宋体" w:eastAsia="方正小标宋_GBK" w:cs="宋体"/>
          <w:color w:val="000000"/>
          <w:kern w:val="0"/>
          <w:sz w:val="44"/>
          <w:szCs w:val="44"/>
          <w:lang w:val="en-US" w:eastAsia="zh-CN"/>
        </w:rPr>
        <w:t>关于转发《洛阳市人民政府推进政府职能转变和“放管服”改革协调小组办公室关于印发洛阳市市场主体住所（经营场所）负面清单的通知》的通知</w:t>
      </w:r>
    </w:p>
    <w:p>
      <w:pPr>
        <w:pStyle w:val="2"/>
        <w:jc w:val="center"/>
        <w:rPr>
          <w:rFonts w:hint="default" w:ascii="Calibri" w:hAnsi="Calibri" w:eastAsia="仿宋" w:cs="Times New Roman"/>
          <w:color w:val="auto"/>
          <w:kern w:val="2"/>
          <w:sz w:val="32"/>
          <w:szCs w:val="21"/>
          <w:lang w:val="en-US" w:eastAsia="zh-CN" w:bidi="ar-SA"/>
        </w:rPr>
      </w:pPr>
      <w:r>
        <w:rPr>
          <w:rFonts w:hint="eastAsia" w:ascii="Calibri" w:hAnsi="Calibri" w:eastAsia="仿宋" w:cs="Times New Roman"/>
          <w:color w:val="auto"/>
          <w:kern w:val="2"/>
          <w:sz w:val="32"/>
          <w:szCs w:val="21"/>
          <w:lang w:val="en-US" w:eastAsia="zh-CN" w:bidi="ar-SA"/>
        </w:rPr>
        <w:t>孟“放管服”组办〔</w:t>
      </w:r>
      <w:r>
        <w:rPr>
          <w:rFonts w:hint="eastAsia" w:ascii="仿宋" w:hAnsi="仿宋" w:eastAsia="仿宋" w:cs="仿宋"/>
          <w:color w:val="auto"/>
          <w:kern w:val="2"/>
          <w:sz w:val="32"/>
          <w:szCs w:val="21"/>
          <w:lang w:val="en-US" w:eastAsia="zh-CN" w:bidi="ar-SA"/>
        </w:rPr>
        <w:t>2023</w:t>
      </w:r>
      <w:r>
        <w:rPr>
          <w:rFonts w:hint="eastAsia" w:ascii="Calibri" w:hAnsi="Calibri" w:eastAsia="仿宋" w:cs="Times New Roman"/>
          <w:color w:val="auto"/>
          <w:kern w:val="2"/>
          <w:sz w:val="32"/>
          <w:szCs w:val="21"/>
          <w:lang w:val="en-US" w:eastAsia="zh-CN" w:bidi="ar-SA"/>
        </w:rPr>
        <w:t>〕</w:t>
      </w:r>
      <w:r>
        <w:rPr>
          <w:rFonts w:hint="eastAsia" w:ascii="仿宋" w:hAnsi="仿宋" w:eastAsia="仿宋" w:cs="仿宋"/>
          <w:color w:val="auto"/>
          <w:kern w:val="2"/>
          <w:sz w:val="32"/>
          <w:szCs w:val="21"/>
          <w:lang w:val="en-US" w:eastAsia="zh-CN" w:bidi="ar-SA"/>
        </w:rPr>
        <w:t>05</w:t>
      </w:r>
      <w:r>
        <w:rPr>
          <w:rFonts w:hint="eastAsia" w:ascii="Calibri" w:hAnsi="Calibri" w:eastAsia="仿宋" w:cs="Times New Roman"/>
          <w:color w:val="auto"/>
          <w:kern w:val="2"/>
          <w:sz w:val="32"/>
          <w:szCs w:val="21"/>
          <w:lang w:val="en-US" w:eastAsia="zh-CN" w:bidi="ar-SA"/>
        </w:rPr>
        <w:t>号</w:t>
      </w:r>
    </w:p>
    <w:p>
      <w:pPr>
        <w:ind w:left="0" w:leftChars="0" w:firstLine="0" w:firstLineChars="0"/>
        <w:jc w:val="left"/>
        <w:rPr>
          <w:rFonts w:hint="eastAsia"/>
          <w:lang w:val="en-US" w:eastAsia="zh-CN"/>
        </w:rPr>
      </w:pPr>
      <w:r>
        <w:rPr>
          <w:rFonts w:hint="eastAsia"/>
          <w:lang w:val="en-US" w:eastAsia="zh-CN"/>
        </w:rPr>
        <w:t>各区直相关部门：</w:t>
      </w:r>
    </w:p>
    <w:p>
      <w:pPr>
        <w:pStyle w:val="2"/>
        <w:rPr>
          <w:rFonts w:hint="eastAsia"/>
        </w:rPr>
      </w:pPr>
      <w:r>
        <w:rPr>
          <w:rFonts w:hint="eastAsia"/>
          <w:lang w:val="en-US" w:eastAsia="zh-CN"/>
        </w:rPr>
        <w:t xml:space="preserve">  </w:t>
      </w:r>
      <w:r>
        <w:rPr>
          <w:rFonts w:hint="eastAsia" w:ascii="Calibri" w:hAnsi="Calibri" w:eastAsia="仿宋" w:cs="Times New Roman"/>
          <w:color w:val="auto"/>
          <w:kern w:val="2"/>
          <w:sz w:val="32"/>
          <w:szCs w:val="21"/>
          <w:lang w:val="en-US" w:eastAsia="zh-CN" w:bidi="ar-SA"/>
        </w:rPr>
        <w:t>现将《洛阳市人民政府推进</w:t>
      </w:r>
      <w:bookmarkStart w:id="0" w:name="_GoBack"/>
      <w:bookmarkEnd w:id="0"/>
      <w:r>
        <w:rPr>
          <w:rFonts w:hint="eastAsia" w:ascii="Calibri" w:hAnsi="Calibri" w:eastAsia="仿宋" w:cs="Times New Roman"/>
          <w:color w:val="auto"/>
          <w:kern w:val="2"/>
          <w:sz w:val="32"/>
          <w:szCs w:val="21"/>
          <w:lang w:val="en-US" w:eastAsia="zh-CN" w:bidi="ar-SA"/>
        </w:rPr>
        <w:t>政府职能转变和“放管服”改革协调小组办公室关于印发洛阳市市场主体住所（经营场所）负面清单的通知》（</w:t>
      </w:r>
      <w:r>
        <w:rPr>
          <w:rFonts w:hint="eastAsia" w:ascii="Calibri" w:hAnsi="Calibri" w:cs="Times New Roman"/>
          <w:color w:val="auto"/>
          <w:kern w:val="2"/>
          <w:sz w:val="32"/>
          <w:szCs w:val="21"/>
          <w:lang w:val="en-US" w:eastAsia="zh-CN" w:bidi="ar-SA"/>
        </w:rPr>
        <w:t>洛“放管服”组办</w:t>
      </w:r>
      <w:r>
        <w:rPr>
          <w:rFonts w:hint="eastAsia" w:ascii="宋体" w:hAnsi="宋体" w:eastAsia="宋体" w:cs="宋体"/>
          <w:lang w:val="en-US" w:eastAsia="zh-CN"/>
        </w:rPr>
        <w:t>〔</w:t>
      </w:r>
      <w:r>
        <w:rPr>
          <w:rFonts w:hint="eastAsia" w:ascii="仿宋" w:hAnsi="仿宋" w:eastAsia="仿宋" w:cs="仿宋"/>
          <w:sz w:val="32"/>
          <w:szCs w:val="21"/>
          <w:lang w:val="en-US" w:eastAsia="zh-CN"/>
        </w:rPr>
        <w:t>202</w:t>
      </w:r>
      <w:r>
        <w:rPr>
          <w:rFonts w:hint="eastAsia" w:cs="仿宋"/>
          <w:sz w:val="32"/>
          <w:szCs w:val="21"/>
          <w:lang w:val="en-US" w:eastAsia="zh-CN"/>
        </w:rPr>
        <w:t>3</w:t>
      </w:r>
      <w:r>
        <w:rPr>
          <w:rFonts w:hint="eastAsia" w:ascii="宋体" w:hAnsi="宋体" w:eastAsia="宋体" w:cs="宋体"/>
          <w:lang w:val="en-US" w:eastAsia="zh-CN"/>
        </w:rPr>
        <w:t>〕03</w:t>
      </w:r>
      <w:r>
        <w:rPr>
          <w:rFonts w:hint="eastAsia" w:ascii="仿宋" w:hAnsi="仿宋" w:eastAsia="仿宋" w:cs="仿宋"/>
          <w:lang w:val="en-US" w:eastAsia="zh-CN"/>
        </w:rPr>
        <w:t>号</w:t>
      </w:r>
      <w:r>
        <w:rPr>
          <w:rFonts w:hint="eastAsia" w:ascii="Calibri" w:hAnsi="Calibri" w:eastAsia="仿宋" w:cs="Times New Roman"/>
          <w:color w:val="auto"/>
          <w:kern w:val="2"/>
          <w:sz w:val="32"/>
          <w:szCs w:val="21"/>
          <w:lang w:val="en-US" w:eastAsia="zh-CN" w:bidi="ar-SA"/>
        </w:rPr>
        <w:t>）转发给你们，请认真贯彻落实。</w:t>
      </w:r>
    </w:p>
    <w:p>
      <w:pPr>
        <w:rPr>
          <w:rFonts w:hint="eastAsia"/>
        </w:rPr>
      </w:pPr>
    </w:p>
    <w:p>
      <w:pPr>
        <w:rPr>
          <w:rFonts w:hint="eastAsia"/>
        </w:rPr>
      </w:pPr>
    </w:p>
    <w:p>
      <w:pPr>
        <w:rPr>
          <w:rFonts w:hint="eastAsia"/>
        </w:rPr>
      </w:pPr>
    </w:p>
    <w:p>
      <w:pPr>
        <w:pStyle w:val="5"/>
        <w:jc w:val="right"/>
        <w:rPr>
          <w:rFonts w:hint="eastAsia" w:ascii="仿宋" w:hAnsi="仿宋" w:eastAsia="仿宋" w:cs="仿宋"/>
        </w:rPr>
      </w:pPr>
      <w:r>
        <w:rPr>
          <w:rFonts w:hint="eastAsia" w:ascii="仿宋" w:hAnsi="仿宋" w:cs="仿宋"/>
          <w:lang w:val="en-US" w:eastAsia="zh-CN"/>
        </w:rPr>
        <w:t xml:space="preserve"> </w:t>
      </w:r>
      <w:r>
        <w:rPr>
          <w:rFonts w:hint="eastAsia" w:ascii="仿宋" w:hAnsi="仿宋" w:eastAsia="仿宋" w:cs="仿宋"/>
          <w:lang w:val="en-US" w:eastAsia="zh-CN"/>
        </w:rPr>
        <w:t>202</w:t>
      </w:r>
      <w:r>
        <w:rPr>
          <w:rFonts w:hint="eastAsia" w:ascii="仿宋" w:hAnsi="仿宋" w:cs="仿宋"/>
          <w:lang w:val="en-US" w:eastAsia="zh-CN"/>
        </w:rPr>
        <w:t>3</w:t>
      </w:r>
      <w:r>
        <w:rPr>
          <w:rFonts w:hint="eastAsia" w:ascii="仿宋" w:hAnsi="仿宋" w:eastAsia="仿宋" w:cs="仿宋"/>
        </w:rPr>
        <w:t>年</w:t>
      </w:r>
      <w:r>
        <w:rPr>
          <w:rFonts w:hint="eastAsia" w:ascii="仿宋" w:hAnsi="仿宋" w:cs="仿宋"/>
          <w:lang w:val="en-US" w:eastAsia="zh-CN"/>
        </w:rPr>
        <w:t>5</w:t>
      </w:r>
      <w:r>
        <w:rPr>
          <w:rFonts w:hint="eastAsia" w:ascii="仿宋" w:hAnsi="仿宋" w:eastAsia="仿宋" w:cs="仿宋"/>
        </w:rPr>
        <w:t>月</w:t>
      </w:r>
      <w:r>
        <w:rPr>
          <w:rFonts w:hint="eastAsia" w:ascii="仿宋" w:hAnsi="仿宋" w:cs="仿宋"/>
          <w:lang w:val="en-US" w:eastAsia="zh-CN"/>
        </w:rPr>
        <w:t>22</w:t>
      </w:r>
      <w:r>
        <w:rPr>
          <w:rFonts w:hint="eastAsia" w:ascii="仿宋" w:hAnsi="仿宋" w:eastAsia="仿宋" w:cs="仿宋"/>
        </w:rPr>
        <w:t>日</w:t>
      </w:r>
    </w:p>
    <w:p>
      <w:pPr>
        <w:sectPr>
          <w:pgSz w:w="11906" w:h="16838"/>
          <w:pgMar w:top="1440" w:right="1800" w:bottom="1440" w:left="1800" w:header="851" w:footer="992" w:gutter="0"/>
          <w:cols w:space="720" w:num="1"/>
          <w:docGrid w:type="lines" w:linePitch="312" w:charSpace="0"/>
        </w:sectPr>
      </w:pPr>
    </w:p>
    <w:p>
      <w:pPr>
        <w:widowControl/>
        <w:spacing w:line="500" w:lineRule="exact"/>
        <w:ind w:firstLine="0" w:firstLineChars="0"/>
        <w:jc w:val="center"/>
        <w:rPr>
          <w:rFonts w:hint="eastAsia" w:ascii="方正小标宋_GBK" w:hAnsi="宋体" w:eastAsia="方正小标宋_GBK" w:cs="宋体"/>
          <w:color w:val="000000"/>
          <w:kern w:val="0"/>
          <w:sz w:val="44"/>
          <w:szCs w:val="44"/>
          <w:lang w:val="en-US" w:eastAsia="zh-CN"/>
        </w:rPr>
      </w:pPr>
    </w:p>
    <w:p>
      <w:pPr>
        <w:widowControl/>
        <w:spacing w:line="500" w:lineRule="exact"/>
        <w:ind w:firstLine="0" w:firstLineChars="0"/>
        <w:jc w:val="center"/>
        <w:rPr>
          <w:rFonts w:hint="eastAsia" w:ascii="方正小标宋_GBK" w:hAnsi="宋体" w:eastAsia="方正小标宋_GBK" w:cs="宋体"/>
          <w:color w:val="000000"/>
          <w:kern w:val="0"/>
          <w:sz w:val="44"/>
          <w:szCs w:val="44"/>
          <w:lang w:val="en-US" w:eastAsia="zh-CN"/>
        </w:rPr>
      </w:pPr>
      <w:r>
        <w:rPr>
          <w:rFonts w:hint="eastAsia" w:ascii="方正小标宋_GBK" w:hAnsi="宋体" w:eastAsia="方正小标宋_GBK" w:cs="宋体"/>
          <w:color w:val="000000"/>
          <w:kern w:val="0"/>
          <w:sz w:val="44"/>
          <w:szCs w:val="44"/>
          <w:lang w:val="en-US" w:eastAsia="zh-CN"/>
        </w:rPr>
        <w:t>关于印发《洛阳市市场主体住所(经营场所) 负面清单》的通知</w:t>
      </w:r>
    </w:p>
    <w:p>
      <w:pPr>
        <w:pStyle w:val="2"/>
      </w:pPr>
    </w:p>
    <w:p>
      <w:pPr>
        <w:spacing w:before="104" w:line="222" w:lineRule="auto"/>
        <w:ind w:left="0" w:leftChars="0" w:firstLine="0" w:firstLineChars="0"/>
        <w:jc w:val="center"/>
        <w:rPr>
          <w:rFonts w:hint="eastAsia" w:ascii="Calibri" w:hAnsi="Calibri" w:eastAsia="仿宋" w:cs="Times New Roman"/>
          <w:color w:val="auto"/>
          <w:kern w:val="2"/>
          <w:sz w:val="32"/>
          <w:szCs w:val="21"/>
          <w:lang w:val="en-US" w:eastAsia="zh-CN" w:bidi="ar-SA"/>
        </w:rPr>
      </w:pPr>
      <w:r>
        <w:rPr>
          <w:rFonts w:hint="eastAsia" w:ascii="Calibri" w:hAnsi="Calibri" w:eastAsia="仿宋" w:cs="Times New Roman"/>
          <w:color w:val="auto"/>
          <w:kern w:val="2"/>
          <w:sz w:val="32"/>
          <w:szCs w:val="21"/>
          <w:lang w:val="en-US" w:eastAsia="zh-CN" w:bidi="ar-SA"/>
        </w:rPr>
        <w:t>洛"放管服"组办〔2023〕03号</w:t>
      </w:r>
    </w:p>
    <w:p>
      <w:pPr>
        <w:spacing w:before="104" w:line="222" w:lineRule="auto"/>
        <w:ind w:left="0" w:leftChars="0" w:firstLine="0" w:firstLineChars="0"/>
        <w:rPr>
          <w:rFonts w:hint="eastAsia" w:ascii="Calibri" w:hAnsi="Calibri" w:eastAsia="仿宋" w:cs="Times New Roman"/>
          <w:color w:val="auto"/>
          <w:kern w:val="2"/>
          <w:sz w:val="32"/>
          <w:szCs w:val="21"/>
          <w:lang w:val="en-US" w:eastAsia="zh-CN" w:bidi="ar-SA"/>
        </w:rPr>
      </w:pPr>
      <w:r>
        <w:rPr>
          <w:rFonts w:hint="eastAsia" w:ascii="Calibri" w:hAnsi="Calibri" w:eastAsia="仿宋" w:cs="Times New Roman"/>
          <w:color w:val="auto"/>
          <w:kern w:val="2"/>
          <w:sz w:val="32"/>
          <w:szCs w:val="21"/>
          <w:lang w:val="en-US" w:eastAsia="zh-CN" w:bidi="ar-SA"/>
        </w:rPr>
        <w:t>各县区人民政府，市直相关部门：</w:t>
      </w:r>
    </w:p>
    <w:p>
      <w:pPr>
        <w:spacing w:before="33" w:line="249" w:lineRule="auto"/>
        <w:ind w:right="89" w:firstLine="680"/>
        <w:jc w:val="both"/>
        <w:rPr>
          <w:rFonts w:hint="eastAsia" w:ascii="Calibri" w:hAnsi="Calibri" w:eastAsia="仿宋" w:cs="Times New Roman"/>
          <w:color w:val="auto"/>
          <w:kern w:val="2"/>
          <w:sz w:val="32"/>
          <w:szCs w:val="21"/>
          <w:lang w:val="en-US" w:eastAsia="zh-CN" w:bidi="ar-SA"/>
        </w:rPr>
      </w:pPr>
      <w:r>
        <w:rPr>
          <w:rFonts w:hint="eastAsia" w:ascii="Calibri" w:hAnsi="Calibri" w:eastAsia="仿宋" w:cs="Times New Roman"/>
          <w:color w:val="auto"/>
          <w:kern w:val="2"/>
          <w:sz w:val="32"/>
          <w:szCs w:val="21"/>
          <w:lang w:val="en-US" w:eastAsia="zh-CN" w:bidi="ar-SA"/>
        </w:rPr>
        <w:t>为持续深化“放管服”改革，全面贯彻落实《国务院办公厅 关于复制推广营商环境创新试点改革举措的通知》(国办发(2022) 35号)要求，有效规范市场主体住所(经营场所)登记，建立健 全住所(经营场所)负面清单管理制度，现将《洛阳市市场主体 住所(经营场所)负面清单》印发给你们，请结合工作实际，认 真抓好贯彻落实。</w:t>
      </w:r>
    </w:p>
    <w:p>
      <w:pPr>
        <w:spacing w:line="256" w:lineRule="auto"/>
        <w:rPr>
          <w:rFonts w:hint="eastAsia" w:ascii="Calibri" w:hAnsi="Calibri" w:eastAsia="仿宋" w:cs="Times New Roman"/>
          <w:color w:val="auto"/>
          <w:kern w:val="2"/>
          <w:sz w:val="32"/>
          <w:szCs w:val="21"/>
          <w:lang w:val="en-US" w:eastAsia="zh-CN" w:bidi="ar-SA"/>
        </w:rPr>
      </w:pPr>
    </w:p>
    <w:p>
      <w:pPr>
        <w:spacing w:line="257" w:lineRule="auto"/>
        <w:rPr>
          <w:rFonts w:hint="eastAsia" w:ascii="Calibri" w:hAnsi="Calibri" w:eastAsia="仿宋" w:cs="Times New Roman"/>
          <w:color w:val="auto"/>
          <w:kern w:val="2"/>
          <w:sz w:val="32"/>
          <w:szCs w:val="21"/>
          <w:lang w:val="en-US" w:eastAsia="zh-CN" w:bidi="ar-SA"/>
        </w:rPr>
      </w:pPr>
    </w:p>
    <w:p>
      <w:pPr>
        <w:spacing w:line="257" w:lineRule="auto"/>
        <w:rPr>
          <w:rFonts w:hint="eastAsia" w:ascii="Calibri" w:hAnsi="Calibri" w:eastAsia="仿宋" w:cs="Times New Roman"/>
          <w:color w:val="auto"/>
          <w:kern w:val="2"/>
          <w:sz w:val="32"/>
          <w:szCs w:val="21"/>
          <w:lang w:val="en-US" w:eastAsia="zh-CN" w:bidi="ar-SA"/>
        </w:rPr>
      </w:pPr>
    </w:p>
    <w:p>
      <w:pPr>
        <w:spacing w:line="257" w:lineRule="auto"/>
        <w:rPr>
          <w:rFonts w:hint="eastAsia" w:ascii="Calibri" w:hAnsi="Calibri" w:eastAsia="仿宋" w:cs="Times New Roman"/>
          <w:color w:val="auto"/>
          <w:kern w:val="2"/>
          <w:sz w:val="32"/>
          <w:szCs w:val="21"/>
          <w:lang w:val="en-US" w:eastAsia="zh-CN" w:bidi="ar-SA"/>
        </w:rPr>
      </w:pPr>
    </w:p>
    <w:p>
      <w:pPr>
        <w:spacing w:line="257" w:lineRule="auto"/>
        <w:rPr>
          <w:rFonts w:hint="eastAsia" w:ascii="Calibri" w:hAnsi="Calibri" w:eastAsia="仿宋" w:cs="Times New Roman"/>
          <w:color w:val="auto"/>
          <w:kern w:val="2"/>
          <w:sz w:val="32"/>
          <w:szCs w:val="21"/>
          <w:lang w:val="en-US" w:eastAsia="zh-CN" w:bidi="ar-SA"/>
        </w:rPr>
      </w:pPr>
    </w:p>
    <w:p>
      <w:pPr>
        <w:spacing w:line="257" w:lineRule="auto"/>
        <w:rPr>
          <w:rFonts w:hint="eastAsia" w:ascii="Calibri" w:hAnsi="Calibri" w:eastAsia="仿宋" w:cs="Times New Roman"/>
          <w:color w:val="auto"/>
          <w:kern w:val="2"/>
          <w:sz w:val="32"/>
          <w:szCs w:val="21"/>
          <w:lang w:val="en-US" w:eastAsia="zh-CN" w:bidi="ar-SA"/>
        </w:rPr>
      </w:pPr>
    </w:p>
    <w:p>
      <w:pPr>
        <w:spacing w:before="105" w:line="222" w:lineRule="auto"/>
        <w:ind w:left="5520"/>
        <w:jc w:val="right"/>
        <w:rPr>
          <w:rFonts w:hint="eastAsia" w:ascii="Calibri" w:hAnsi="Calibri" w:eastAsia="仿宋" w:cs="Times New Roman"/>
          <w:color w:val="auto"/>
          <w:kern w:val="2"/>
          <w:sz w:val="32"/>
          <w:szCs w:val="21"/>
          <w:lang w:val="en-US" w:eastAsia="zh-CN" w:bidi="ar-SA"/>
        </w:rPr>
      </w:pPr>
      <w:r>
        <w:rPr>
          <w:rFonts w:hint="eastAsia" w:ascii="Calibri" w:hAnsi="Calibri" w:eastAsia="仿宋" w:cs="Times New Roman"/>
          <w:color w:val="auto"/>
          <w:kern w:val="2"/>
          <w:sz w:val="32"/>
          <w:szCs w:val="21"/>
          <w:lang w:val="en-US" w:eastAsia="zh-CN" w:bidi="ar-SA"/>
        </w:rPr>
        <w:t>2023年4月7日</w:t>
      </w:r>
    </w:p>
    <w:p>
      <w:pPr>
        <w:rPr>
          <w:rFonts w:hint="eastAsia" w:ascii="Calibri" w:hAnsi="Calibri" w:eastAsia="仿宋" w:cs="Times New Roman"/>
          <w:color w:val="auto"/>
          <w:kern w:val="2"/>
          <w:sz w:val="32"/>
          <w:szCs w:val="21"/>
          <w:lang w:val="en-US" w:eastAsia="zh-CN" w:bidi="ar-SA"/>
        </w:rPr>
        <w:sectPr>
          <w:headerReference r:id="rId5" w:type="default"/>
          <w:footerReference r:id="rId6" w:type="default"/>
          <w:pgSz w:w="12330" w:h="17070"/>
          <w:pgMar w:top="1440" w:right="1803" w:bottom="1440" w:left="1803" w:header="0" w:footer="881" w:gutter="0"/>
          <w:cols w:space="720" w:num="1"/>
        </w:sectPr>
      </w:pPr>
    </w:p>
    <w:p>
      <w:pPr>
        <w:pStyle w:val="2"/>
      </w:pPr>
    </w:p>
    <w:p>
      <w:pPr>
        <w:pStyle w:val="2"/>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before="149" w:line="221" w:lineRule="auto"/>
        <w:ind w:left="2951"/>
        <w:rPr>
          <w:rFonts w:ascii="黑体" w:hAnsi="黑体" w:eastAsia="黑体" w:cs="黑体"/>
          <w:sz w:val="46"/>
          <w:szCs w:val="46"/>
        </w:rPr>
      </w:pPr>
      <w:r>
        <w:rPr>
          <w:rFonts w:ascii="黑体" w:hAnsi="黑体" w:eastAsia="黑体" w:cs="黑体"/>
          <w:b/>
          <w:bCs/>
          <w:sz w:val="46"/>
          <w:szCs w:val="46"/>
        </w:rPr>
        <w:t>洛阳市市场主体住所(经营场所)负面清单</w:t>
      </w:r>
    </w:p>
    <w:p>
      <w:pPr>
        <w:spacing w:line="226" w:lineRule="exact"/>
      </w:pPr>
    </w:p>
    <w:tbl>
      <w:tblPr>
        <w:tblStyle w:val="6"/>
        <w:tblW w:w="1419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4"/>
        <w:gridCol w:w="1419"/>
        <w:gridCol w:w="3138"/>
        <w:gridCol w:w="906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4" w:hRule="atLeast"/>
        </w:trPr>
        <w:tc>
          <w:tcPr>
            <w:tcW w:w="564" w:type="dxa"/>
            <w:textDirection w:val="tbRlV"/>
            <w:vAlign w:val="top"/>
          </w:tcPr>
          <w:p>
            <w:pPr>
              <w:spacing w:before="179" w:line="217" w:lineRule="auto"/>
              <w:ind w:left="114"/>
              <w:rPr>
                <w:rFonts w:ascii="宋体" w:hAnsi="宋体" w:eastAsia="宋体" w:cs="宋体"/>
                <w:sz w:val="21"/>
                <w:szCs w:val="21"/>
              </w:rPr>
            </w:pPr>
            <w:r>
              <w:rPr>
                <w:rFonts w:ascii="宋体" w:hAnsi="宋体" w:eastAsia="宋体" w:cs="宋体"/>
                <w:spacing w:val="23"/>
                <w:sz w:val="21"/>
                <w:szCs w:val="21"/>
              </w:rPr>
              <w:t>序号</w:t>
            </w:r>
          </w:p>
        </w:tc>
        <w:tc>
          <w:tcPr>
            <w:tcW w:w="1419" w:type="dxa"/>
            <w:vAlign w:val="top"/>
          </w:tcPr>
          <w:p>
            <w:pPr>
              <w:spacing w:before="244" w:line="220" w:lineRule="auto"/>
              <w:ind w:left="270"/>
              <w:rPr>
                <w:rFonts w:ascii="宋体" w:hAnsi="宋体" w:eastAsia="宋体" w:cs="宋体"/>
                <w:sz w:val="21"/>
                <w:szCs w:val="21"/>
              </w:rPr>
            </w:pPr>
            <w:r>
              <w:rPr>
                <w:rFonts w:ascii="宋体" w:hAnsi="宋体" w:eastAsia="宋体" w:cs="宋体"/>
                <w:spacing w:val="10"/>
                <w:sz w:val="21"/>
                <w:szCs w:val="21"/>
              </w:rPr>
              <w:t>经营项目</w:t>
            </w:r>
          </w:p>
        </w:tc>
        <w:tc>
          <w:tcPr>
            <w:tcW w:w="3138" w:type="dxa"/>
            <w:vAlign w:val="top"/>
          </w:tcPr>
          <w:p>
            <w:pPr>
              <w:spacing w:before="243" w:line="219" w:lineRule="auto"/>
              <w:ind w:left="1111"/>
              <w:rPr>
                <w:rFonts w:ascii="宋体" w:hAnsi="宋体" w:eastAsia="宋体" w:cs="宋体"/>
                <w:sz w:val="21"/>
                <w:szCs w:val="21"/>
              </w:rPr>
            </w:pPr>
            <w:r>
              <w:rPr>
                <w:rFonts w:ascii="宋体" w:hAnsi="宋体" w:eastAsia="宋体" w:cs="宋体"/>
                <w:spacing w:val="12"/>
                <w:sz w:val="21"/>
                <w:szCs w:val="21"/>
              </w:rPr>
              <w:t>禁设区域</w:t>
            </w:r>
          </w:p>
        </w:tc>
        <w:tc>
          <w:tcPr>
            <w:tcW w:w="9069" w:type="dxa"/>
            <w:vAlign w:val="top"/>
          </w:tcPr>
          <w:p>
            <w:pPr>
              <w:spacing w:before="239" w:line="219" w:lineRule="auto"/>
              <w:ind w:left="4137"/>
              <w:rPr>
                <w:rFonts w:ascii="宋体" w:hAnsi="宋体" w:eastAsia="宋体" w:cs="宋体"/>
                <w:sz w:val="21"/>
                <w:szCs w:val="21"/>
              </w:rPr>
            </w:pPr>
            <w:r>
              <w:rPr>
                <w:rFonts w:ascii="宋体" w:hAnsi="宋体" w:eastAsia="宋体" w:cs="宋体"/>
                <w:b/>
                <w:bCs/>
                <w:spacing w:val="-4"/>
                <w:sz w:val="21"/>
                <w:szCs w:val="21"/>
              </w:rPr>
              <w:t>禁设依据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67" w:hRule="atLeast"/>
        </w:trPr>
        <w:tc>
          <w:tcPr>
            <w:tcW w:w="564" w:type="dxa"/>
            <w:vMerge w:val="restart"/>
            <w:tcBorders>
              <w:bottom w:val="nil"/>
            </w:tcBorders>
            <w:vAlign w:val="top"/>
          </w:tcPr>
          <w:p>
            <w:pPr>
              <w:spacing w:line="253" w:lineRule="auto"/>
              <w:rPr>
                <w:rFonts w:ascii="Arial"/>
                <w:sz w:val="21"/>
              </w:rPr>
            </w:pPr>
          </w:p>
          <w:p>
            <w:pPr>
              <w:spacing w:line="253"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before="69" w:line="184" w:lineRule="auto"/>
              <w:ind w:left="214"/>
              <w:rPr>
                <w:rFonts w:ascii="宋体" w:hAnsi="宋体" w:eastAsia="宋体" w:cs="宋体"/>
                <w:sz w:val="21"/>
                <w:szCs w:val="21"/>
              </w:rPr>
            </w:pPr>
            <w:r>
              <w:rPr>
                <w:rFonts w:ascii="宋体" w:hAnsi="宋体" w:eastAsia="宋体" w:cs="宋体"/>
                <w:sz w:val="21"/>
                <w:szCs w:val="21"/>
              </w:rPr>
              <w:t>1</w:t>
            </w:r>
          </w:p>
        </w:tc>
        <w:tc>
          <w:tcPr>
            <w:tcW w:w="1419" w:type="dxa"/>
            <w:vMerge w:val="restart"/>
            <w:tcBorders>
              <w:bottom w:val="nil"/>
            </w:tcBorders>
            <w:vAlign w:val="top"/>
          </w:tcPr>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before="68" w:line="238" w:lineRule="auto"/>
              <w:ind w:left="100" w:right="266"/>
              <w:rPr>
                <w:rFonts w:ascii="宋体" w:hAnsi="宋体" w:eastAsia="宋体" w:cs="宋体"/>
                <w:sz w:val="21"/>
                <w:szCs w:val="21"/>
              </w:rPr>
            </w:pPr>
            <w:r>
              <w:rPr>
                <w:rFonts w:ascii="宋体" w:hAnsi="宋体" w:eastAsia="宋体" w:cs="宋体"/>
                <w:spacing w:val="-2"/>
                <w:sz w:val="21"/>
                <w:szCs w:val="21"/>
              </w:rPr>
              <w:t>所有经营活</w:t>
            </w:r>
            <w:r>
              <w:rPr>
                <w:rFonts w:ascii="宋体" w:hAnsi="宋体" w:eastAsia="宋体" w:cs="宋体"/>
                <w:sz w:val="21"/>
                <w:szCs w:val="21"/>
              </w:rPr>
              <w:t xml:space="preserve"> 动</w:t>
            </w:r>
          </w:p>
        </w:tc>
        <w:tc>
          <w:tcPr>
            <w:tcW w:w="3138" w:type="dxa"/>
            <w:vAlign w:val="top"/>
          </w:tcPr>
          <w:p>
            <w:pPr>
              <w:spacing w:line="319" w:lineRule="auto"/>
              <w:rPr>
                <w:rFonts w:ascii="Arial"/>
                <w:sz w:val="21"/>
              </w:rPr>
            </w:pPr>
          </w:p>
          <w:p>
            <w:pPr>
              <w:spacing w:line="319" w:lineRule="auto"/>
              <w:rPr>
                <w:rFonts w:ascii="Arial"/>
                <w:sz w:val="21"/>
              </w:rPr>
            </w:pPr>
          </w:p>
          <w:p>
            <w:pPr>
              <w:spacing w:before="69" w:line="246" w:lineRule="auto"/>
              <w:ind w:left="82" w:right="60"/>
              <w:jc w:val="both"/>
              <w:rPr>
                <w:rFonts w:ascii="宋体" w:hAnsi="宋体" w:eastAsia="宋体" w:cs="宋体"/>
                <w:sz w:val="21"/>
                <w:szCs w:val="21"/>
              </w:rPr>
            </w:pPr>
            <w:r>
              <w:rPr>
                <w:rFonts w:ascii="宋体" w:hAnsi="宋体" w:eastAsia="宋体" w:cs="宋体"/>
                <w:spacing w:val="17"/>
                <w:sz w:val="21"/>
                <w:szCs w:val="21"/>
              </w:rPr>
              <w:t>1.非(违)法建筑、危险建筑，</w:t>
            </w:r>
            <w:r>
              <w:rPr>
                <w:rFonts w:ascii="宋体" w:hAnsi="宋体" w:eastAsia="宋体" w:cs="宋体"/>
                <w:sz w:val="21"/>
                <w:szCs w:val="21"/>
              </w:rPr>
              <w:t xml:space="preserve"> </w:t>
            </w:r>
            <w:r>
              <w:rPr>
                <w:rFonts w:ascii="宋体" w:hAnsi="宋体" w:eastAsia="宋体" w:cs="宋体"/>
                <w:spacing w:val="-1"/>
                <w:sz w:val="21"/>
                <w:szCs w:val="21"/>
              </w:rPr>
              <w:t>擅自改变房屋使用性质、被征收</w:t>
            </w:r>
            <w:r>
              <w:rPr>
                <w:rFonts w:ascii="宋体" w:hAnsi="宋体" w:eastAsia="宋体" w:cs="宋体"/>
                <w:spacing w:val="3"/>
                <w:sz w:val="21"/>
                <w:szCs w:val="21"/>
              </w:rPr>
              <w:t xml:space="preserve"> </w:t>
            </w:r>
            <w:r>
              <w:rPr>
                <w:rFonts w:ascii="宋体" w:hAnsi="宋体" w:eastAsia="宋体" w:cs="宋体"/>
                <w:spacing w:val="15"/>
                <w:sz w:val="21"/>
                <w:szCs w:val="21"/>
              </w:rPr>
              <w:t>房屋</w:t>
            </w:r>
          </w:p>
        </w:tc>
        <w:tc>
          <w:tcPr>
            <w:tcW w:w="9069" w:type="dxa"/>
            <w:vAlign w:val="top"/>
          </w:tcPr>
          <w:p>
            <w:pPr>
              <w:spacing w:before="128" w:line="219" w:lineRule="auto"/>
              <w:ind w:left="9"/>
              <w:rPr>
                <w:rFonts w:ascii="宋体" w:hAnsi="宋体" w:eastAsia="宋体" w:cs="宋体"/>
                <w:sz w:val="21"/>
                <w:szCs w:val="21"/>
              </w:rPr>
            </w:pPr>
            <w:r>
              <w:rPr>
                <w:rFonts w:ascii="宋体" w:hAnsi="宋体" w:eastAsia="宋体" w:cs="宋体"/>
                <w:spacing w:val="9"/>
                <w:sz w:val="21"/>
                <w:szCs w:val="21"/>
              </w:rPr>
              <w:t>《国务院关于印发注册资本登记制度改革方案的通知》(国发(2014)7号)</w:t>
            </w:r>
          </w:p>
          <w:p>
            <w:pPr>
              <w:spacing w:before="60" w:line="219" w:lineRule="auto"/>
              <w:ind w:left="114"/>
              <w:rPr>
                <w:rFonts w:ascii="宋体" w:hAnsi="宋体" w:eastAsia="宋体" w:cs="宋体"/>
                <w:sz w:val="21"/>
                <w:szCs w:val="21"/>
              </w:rPr>
            </w:pPr>
            <w:r>
              <w:rPr>
                <w:rFonts w:ascii="宋体" w:hAnsi="宋体" w:eastAsia="宋体" w:cs="宋体"/>
                <w:spacing w:val="4"/>
                <w:sz w:val="21"/>
                <w:szCs w:val="21"/>
              </w:rPr>
              <w:t>三、严格市场主体监督管理，依法维护市场秩序。</w:t>
            </w:r>
          </w:p>
          <w:p>
            <w:pPr>
              <w:spacing w:before="29" w:line="255" w:lineRule="auto"/>
              <w:ind w:left="114" w:right="112"/>
              <w:rPr>
                <w:rFonts w:ascii="宋体" w:hAnsi="宋体" w:eastAsia="宋体" w:cs="宋体"/>
                <w:sz w:val="21"/>
                <w:szCs w:val="21"/>
              </w:rPr>
            </w:pPr>
            <w:r>
              <w:rPr>
                <w:rFonts w:ascii="宋体" w:hAnsi="宋体" w:eastAsia="宋体" w:cs="宋体"/>
                <w:spacing w:val="6"/>
                <w:sz w:val="21"/>
                <w:szCs w:val="21"/>
              </w:rPr>
              <w:t>(七)加强市场主体住所(经营场所)管理。工商行政管理机关根据投诉举报，依法处理市场</w:t>
            </w:r>
            <w:r>
              <w:rPr>
                <w:rFonts w:ascii="宋体" w:hAnsi="宋体" w:eastAsia="宋体" w:cs="宋体"/>
                <w:spacing w:val="5"/>
                <w:sz w:val="21"/>
                <w:szCs w:val="21"/>
              </w:rPr>
              <w:t>主</w:t>
            </w:r>
            <w:r>
              <w:rPr>
                <w:rFonts w:ascii="宋体" w:hAnsi="宋体" w:eastAsia="宋体" w:cs="宋体"/>
                <w:sz w:val="21"/>
                <w:szCs w:val="21"/>
              </w:rPr>
              <w:t xml:space="preserve">  </w:t>
            </w:r>
            <w:r>
              <w:rPr>
                <w:rFonts w:ascii="宋体" w:hAnsi="宋体" w:eastAsia="宋体" w:cs="宋体"/>
                <w:spacing w:val="9"/>
                <w:sz w:val="21"/>
                <w:szCs w:val="21"/>
              </w:rPr>
              <w:t>体登记住所(经营场所)与实际情况不符的问题。对于应当具备特定条件的住所(经营场所),</w:t>
            </w:r>
            <w:r>
              <w:rPr>
                <w:rFonts w:ascii="宋体" w:hAnsi="宋体" w:eastAsia="宋体" w:cs="宋体"/>
                <w:spacing w:val="5"/>
                <w:sz w:val="21"/>
                <w:szCs w:val="21"/>
              </w:rPr>
              <w:t xml:space="preserve">  </w:t>
            </w:r>
            <w:r>
              <w:rPr>
                <w:rFonts w:ascii="宋体" w:hAnsi="宋体" w:eastAsia="宋体" w:cs="宋体"/>
                <w:sz w:val="21"/>
                <w:szCs w:val="21"/>
              </w:rPr>
              <w:t>或者利用非法建筑、擅自改变房屋用途等从事经营活动的，由规划、建设、国土、房屋管理、公</w:t>
            </w:r>
            <w:r>
              <w:rPr>
                <w:rFonts w:ascii="宋体" w:hAnsi="宋体" w:eastAsia="宋体" w:cs="宋体"/>
                <w:spacing w:val="11"/>
                <w:sz w:val="21"/>
                <w:szCs w:val="21"/>
              </w:rPr>
              <w:t xml:space="preserve"> </w:t>
            </w:r>
            <w:r>
              <w:rPr>
                <w:rFonts w:ascii="宋体" w:hAnsi="宋体" w:eastAsia="宋体" w:cs="宋体"/>
                <w:sz w:val="21"/>
                <w:szCs w:val="21"/>
              </w:rPr>
              <w:t>安、环保、安全监管等部门依法管理；涉及许可审批事项的，由负贵许可审批的行政管理部门依</w:t>
            </w:r>
            <w:r>
              <w:rPr>
                <w:rFonts w:ascii="宋体" w:hAnsi="宋体" w:eastAsia="宋体" w:cs="宋体"/>
                <w:spacing w:val="11"/>
                <w:sz w:val="21"/>
                <w:szCs w:val="21"/>
              </w:rPr>
              <w:t xml:space="preserve"> </w:t>
            </w:r>
            <w:r>
              <w:rPr>
                <w:rFonts w:ascii="宋体" w:hAnsi="宋体" w:eastAsia="宋体" w:cs="宋体"/>
                <w:spacing w:val="26"/>
                <w:sz w:val="21"/>
                <w:szCs w:val="21"/>
              </w:rPr>
              <w:t>法监管。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37" w:hRule="atLeast"/>
        </w:trPr>
        <w:tc>
          <w:tcPr>
            <w:tcW w:w="564" w:type="dxa"/>
            <w:vMerge w:val="continue"/>
            <w:tcBorders>
              <w:top w:val="nil"/>
              <w:bottom w:val="nil"/>
            </w:tcBorders>
            <w:vAlign w:val="top"/>
          </w:tcPr>
          <w:p>
            <w:pPr>
              <w:rPr>
                <w:rFonts w:ascii="Arial"/>
                <w:sz w:val="21"/>
              </w:rPr>
            </w:pPr>
          </w:p>
        </w:tc>
        <w:tc>
          <w:tcPr>
            <w:tcW w:w="1419" w:type="dxa"/>
            <w:vMerge w:val="continue"/>
            <w:tcBorders>
              <w:top w:val="nil"/>
              <w:bottom w:val="nil"/>
            </w:tcBorders>
            <w:vAlign w:val="top"/>
          </w:tcPr>
          <w:p>
            <w:pPr>
              <w:rPr>
                <w:rFonts w:ascii="Arial"/>
                <w:sz w:val="21"/>
              </w:rPr>
            </w:pPr>
          </w:p>
        </w:tc>
        <w:tc>
          <w:tcPr>
            <w:tcW w:w="3138" w:type="dxa"/>
            <w:vAlign w:val="top"/>
          </w:tcPr>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before="68" w:line="255" w:lineRule="auto"/>
              <w:ind w:left="82" w:right="116"/>
              <w:rPr>
                <w:rFonts w:ascii="宋体" w:hAnsi="宋体" w:eastAsia="宋体" w:cs="宋体"/>
                <w:sz w:val="21"/>
                <w:szCs w:val="21"/>
              </w:rPr>
            </w:pPr>
            <w:r>
              <w:rPr>
                <w:rFonts w:ascii="宋体" w:hAnsi="宋体" w:eastAsia="宋体" w:cs="宋体"/>
                <w:spacing w:val="-1"/>
                <w:sz w:val="21"/>
                <w:szCs w:val="21"/>
              </w:rPr>
              <w:t>2.存在违法建设、违法违规审批</w:t>
            </w:r>
            <w:r>
              <w:rPr>
                <w:rFonts w:ascii="宋体" w:hAnsi="宋体" w:eastAsia="宋体" w:cs="宋体"/>
                <w:spacing w:val="3"/>
                <w:sz w:val="21"/>
                <w:szCs w:val="21"/>
              </w:rPr>
              <w:t xml:space="preserve"> </w:t>
            </w:r>
            <w:r>
              <w:rPr>
                <w:rFonts w:ascii="宋体" w:hAnsi="宋体" w:eastAsia="宋体" w:cs="宋体"/>
                <w:spacing w:val="2"/>
                <w:sz w:val="21"/>
                <w:szCs w:val="21"/>
              </w:rPr>
              <w:t>问题的自建房</w:t>
            </w:r>
          </w:p>
        </w:tc>
        <w:tc>
          <w:tcPr>
            <w:tcW w:w="9069" w:type="dxa"/>
            <w:vAlign w:val="top"/>
          </w:tcPr>
          <w:p>
            <w:pPr>
              <w:spacing w:before="102" w:line="246" w:lineRule="auto"/>
              <w:ind w:left="114" w:right="204" w:hanging="105"/>
              <w:rPr>
                <w:rFonts w:ascii="宋体" w:hAnsi="宋体" w:eastAsia="宋体" w:cs="宋体"/>
                <w:sz w:val="21"/>
                <w:szCs w:val="21"/>
              </w:rPr>
            </w:pPr>
            <w:r>
              <w:rPr>
                <w:rFonts w:ascii="宋体" w:hAnsi="宋体" w:eastAsia="宋体" w:cs="宋体"/>
                <w:spacing w:val="3"/>
                <w:sz w:val="21"/>
                <w:szCs w:val="21"/>
              </w:rPr>
              <w:t>《国务院办公厅关于印发全国自建房安全专项整治工作方案的通知》(国办发明电〔202</w:t>
            </w:r>
            <w:r>
              <w:rPr>
                <w:rFonts w:ascii="宋体" w:hAnsi="宋体" w:eastAsia="宋体" w:cs="宋体"/>
                <w:spacing w:val="2"/>
                <w:sz w:val="21"/>
                <w:szCs w:val="21"/>
              </w:rPr>
              <w:t>2〕10号</w:t>
            </w:r>
            <w:r>
              <w:rPr>
                <w:rFonts w:ascii="宋体" w:hAnsi="宋体" w:eastAsia="宋体" w:cs="宋体"/>
                <w:sz w:val="21"/>
                <w:szCs w:val="21"/>
              </w:rPr>
              <w:t xml:space="preserve"> </w:t>
            </w:r>
            <w:r>
              <w:rPr>
                <w:rFonts w:ascii="宋体" w:hAnsi="宋体" w:eastAsia="宋体" w:cs="宋体"/>
                <w:spacing w:val="15"/>
                <w:sz w:val="21"/>
                <w:szCs w:val="21"/>
              </w:rPr>
              <w:t>(三)彻底整治隐患</w:t>
            </w:r>
          </w:p>
          <w:p>
            <w:pPr>
              <w:spacing w:before="30" w:line="254" w:lineRule="auto"/>
              <w:ind w:left="114" w:right="108"/>
              <w:jc w:val="both"/>
              <w:rPr>
                <w:rFonts w:ascii="宋体" w:hAnsi="宋体" w:eastAsia="宋体" w:cs="宋体"/>
                <w:sz w:val="21"/>
                <w:szCs w:val="21"/>
              </w:rPr>
            </w:pPr>
            <w:r>
              <w:rPr>
                <w:rFonts w:ascii="宋体" w:hAnsi="宋体" w:eastAsia="宋体" w:cs="宋体"/>
                <w:sz w:val="21"/>
                <w:szCs w:val="21"/>
              </w:rPr>
              <w:t>3.清查整治违法行为。加强部门联动，加大对违法建设和违法违规审批房屋的清查力度，依法严</w:t>
            </w:r>
            <w:r>
              <w:rPr>
                <w:rFonts w:ascii="宋体" w:hAnsi="宋体" w:eastAsia="宋体" w:cs="宋体"/>
                <w:spacing w:val="7"/>
                <w:sz w:val="21"/>
                <w:szCs w:val="21"/>
              </w:rPr>
              <w:t xml:space="preserve"> </w:t>
            </w:r>
            <w:r>
              <w:rPr>
                <w:rFonts w:ascii="宋体" w:hAnsi="宋体" w:eastAsia="宋体" w:cs="宋体"/>
                <w:sz w:val="21"/>
                <w:szCs w:val="21"/>
              </w:rPr>
              <w:t>厉查处未取得土地、规划和建设等手续，以及擅自改建加层、非法开挖地下空间等行为，对严重</w:t>
            </w:r>
            <w:r>
              <w:rPr>
                <w:rFonts w:ascii="宋体" w:hAnsi="宋体" w:eastAsia="宋体" w:cs="宋体"/>
                <w:spacing w:val="8"/>
                <w:sz w:val="21"/>
                <w:szCs w:val="21"/>
              </w:rPr>
              <w:t xml:space="preserve"> </w:t>
            </w:r>
            <w:r>
              <w:rPr>
                <w:rFonts w:ascii="宋体" w:hAnsi="宋体" w:eastAsia="宋体" w:cs="宋体"/>
                <w:sz w:val="21"/>
                <w:szCs w:val="21"/>
              </w:rPr>
              <w:t>危及公共安全且拒不整改构成犯罪的，依法追究刑事贵任。存在违法建设、违法违规审批问题的</w:t>
            </w:r>
            <w:r>
              <w:rPr>
                <w:rFonts w:ascii="宋体" w:hAnsi="宋体" w:eastAsia="宋体" w:cs="宋体"/>
                <w:spacing w:val="15"/>
                <w:sz w:val="21"/>
                <w:szCs w:val="21"/>
              </w:rPr>
              <w:t xml:space="preserve"> </w:t>
            </w:r>
            <w:r>
              <w:rPr>
                <w:rFonts w:ascii="宋体" w:hAnsi="宋体" w:eastAsia="宋体" w:cs="宋体"/>
                <w:sz w:val="21"/>
                <w:szCs w:val="21"/>
              </w:rPr>
              <w:t>自建房，不得用于经营活动。建立群众举报奖励机制，举报一经查实，予以奖励。对故意隐瞒房</w:t>
            </w:r>
            <w:r>
              <w:rPr>
                <w:rFonts w:ascii="宋体" w:hAnsi="宋体" w:eastAsia="宋体" w:cs="宋体"/>
                <w:spacing w:val="13"/>
                <w:sz w:val="21"/>
                <w:szCs w:val="21"/>
              </w:rPr>
              <w:t xml:space="preserve"> </w:t>
            </w:r>
            <w:r>
              <w:rPr>
                <w:rFonts w:ascii="宋体" w:hAnsi="宋体" w:eastAsia="宋体" w:cs="宋体"/>
                <w:spacing w:val="3"/>
                <w:sz w:val="21"/>
                <w:szCs w:val="21"/>
              </w:rPr>
              <w:t>屋安全状况、使用危房作为经营场所导致重大事故的，依法追究刑事责任：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18" w:hRule="atLeast"/>
        </w:trPr>
        <w:tc>
          <w:tcPr>
            <w:tcW w:w="564" w:type="dxa"/>
            <w:vMerge w:val="continue"/>
            <w:tcBorders>
              <w:top w:val="nil"/>
            </w:tcBorders>
            <w:vAlign w:val="top"/>
          </w:tcPr>
          <w:p>
            <w:pPr>
              <w:rPr>
                <w:rFonts w:ascii="Arial"/>
                <w:sz w:val="21"/>
              </w:rPr>
            </w:pPr>
          </w:p>
        </w:tc>
        <w:tc>
          <w:tcPr>
            <w:tcW w:w="1419" w:type="dxa"/>
            <w:vMerge w:val="continue"/>
            <w:tcBorders>
              <w:top w:val="nil"/>
            </w:tcBorders>
            <w:vAlign w:val="top"/>
          </w:tcPr>
          <w:p>
            <w:pPr>
              <w:rPr>
                <w:rFonts w:ascii="Arial"/>
                <w:sz w:val="21"/>
              </w:rPr>
            </w:pPr>
          </w:p>
        </w:tc>
        <w:tc>
          <w:tcPr>
            <w:tcW w:w="3138" w:type="dxa"/>
            <w:vAlign w:val="top"/>
          </w:tcPr>
          <w:p>
            <w:pPr>
              <w:spacing w:before="285" w:line="234" w:lineRule="auto"/>
              <w:ind w:left="82" w:right="302"/>
              <w:rPr>
                <w:rFonts w:ascii="宋体" w:hAnsi="宋体" w:eastAsia="宋体" w:cs="宋体"/>
                <w:sz w:val="21"/>
                <w:szCs w:val="21"/>
              </w:rPr>
            </w:pPr>
            <w:r>
              <w:rPr>
                <w:rFonts w:ascii="宋体" w:hAnsi="宋体" w:eastAsia="宋体" w:cs="宋体"/>
                <w:sz w:val="21"/>
                <w:szCs w:val="21"/>
              </w:rPr>
              <w:t>3.未经有利害关系的业主同意</w:t>
            </w:r>
            <w:r>
              <w:rPr>
                <w:rFonts w:ascii="宋体" w:hAnsi="宋体" w:eastAsia="宋体" w:cs="宋体"/>
                <w:spacing w:val="12"/>
                <w:sz w:val="21"/>
                <w:szCs w:val="21"/>
              </w:rPr>
              <w:t xml:space="preserve"> </w:t>
            </w:r>
            <w:r>
              <w:rPr>
                <w:rFonts w:ascii="宋体" w:hAnsi="宋体" w:eastAsia="宋体" w:cs="宋体"/>
                <w:spacing w:val="4"/>
                <w:sz w:val="21"/>
                <w:szCs w:val="21"/>
              </w:rPr>
              <w:t>的住宅</w:t>
            </w:r>
          </w:p>
        </w:tc>
        <w:tc>
          <w:tcPr>
            <w:tcW w:w="9069" w:type="dxa"/>
            <w:vAlign w:val="top"/>
          </w:tcPr>
          <w:p>
            <w:pPr>
              <w:spacing w:before="126" w:line="267" w:lineRule="auto"/>
              <w:ind w:left="114" w:firstLine="4"/>
              <w:rPr>
                <w:rFonts w:ascii="宋体" w:hAnsi="宋体" w:eastAsia="宋体" w:cs="宋体"/>
                <w:sz w:val="20"/>
                <w:szCs w:val="20"/>
              </w:rPr>
            </w:pPr>
            <w:r>
              <w:rPr>
                <w:rFonts w:ascii="宋体" w:hAnsi="宋体" w:eastAsia="宋体" w:cs="宋体"/>
                <w:spacing w:val="13"/>
                <w:sz w:val="20"/>
                <w:szCs w:val="20"/>
              </w:rPr>
              <w:t>《民法典》第二百七十九条业主不得违反法律、法规以及管理规约，将住</w:t>
            </w:r>
            <w:r>
              <w:rPr>
                <w:rFonts w:ascii="宋体" w:hAnsi="宋体" w:eastAsia="宋体" w:cs="宋体"/>
                <w:spacing w:val="12"/>
                <w:sz w:val="20"/>
                <w:szCs w:val="20"/>
              </w:rPr>
              <w:t>宅改变为经营性用房。</w:t>
            </w:r>
            <w:r>
              <w:rPr>
                <w:rFonts w:ascii="宋体" w:hAnsi="宋体" w:eastAsia="宋体" w:cs="宋体"/>
                <w:sz w:val="20"/>
                <w:szCs w:val="20"/>
              </w:rPr>
              <w:t xml:space="preserve"> </w:t>
            </w:r>
            <w:r>
              <w:rPr>
                <w:rFonts w:ascii="宋体" w:hAnsi="宋体" w:eastAsia="宋体" w:cs="宋体"/>
                <w:spacing w:val="8"/>
                <w:sz w:val="20"/>
                <w:szCs w:val="20"/>
              </w:rPr>
              <w:t>业主将住宅改变为经营性用房的，除遵守法律、法规以及管理规约外</w:t>
            </w:r>
            <w:r>
              <w:rPr>
                <w:rFonts w:ascii="宋体" w:hAnsi="宋体" w:eastAsia="宋体" w:cs="宋体"/>
                <w:spacing w:val="7"/>
                <w:sz w:val="20"/>
                <w:szCs w:val="20"/>
              </w:rPr>
              <w:t>，应当经有利害关系的业主</w:t>
            </w:r>
            <w:r>
              <w:rPr>
                <w:rFonts w:ascii="宋体" w:hAnsi="宋体" w:eastAsia="宋体" w:cs="宋体"/>
                <w:sz w:val="20"/>
                <w:szCs w:val="20"/>
              </w:rPr>
              <w:t xml:space="preserve">   </w:t>
            </w:r>
            <w:r>
              <w:rPr>
                <w:rFonts w:ascii="宋体" w:hAnsi="宋体" w:eastAsia="宋体" w:cs="宋体"/>
                <w:spacing w:val="18"/>
                <w:sz w:val="20"/>
                <w:szCs w:val="20"/>
              </w:rPr>
              <w:t>一</w:t>
            </w:r>
            <w:r>
              <w:rPr>
                <w:rFonts w:ascii="宋体" w:hAnsi="宋体" w:eastAsia="宋体" w:cs="宋体"/>
                <w:spacing w:val="-52"/>
                <w:sz w:val="20"/>
                <w:szCs w:val="20"/>
              </w:rPr>
              <w:t xml:space="preserve"> </w:t>
            </w:r>
            <w:r>
              <w:rPr>
                <w:rFonts w:ascii="宋体" w:hAnsi="宋体" w:eastAsia="宋体" w:cs="宋体"/>
                <w:spacing w:val="18"/>
                <w:sz w:val="20"/>
                <w:szCs w:val="20"/>
              </w:rPr>
              <w:t>致同意，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9" w:hRule="atLeast"/>
        </w:trPr>
        <w:tc>
          <w:tcPr>
            <w:tcW w:w="564" w:type="dxa"/>
            <w:vMerge w:val="restart"/>
            <w:tcBorders>
              <w:bottom w:val="nil"/>
            </w:tcBorders>
            <w:vAlign w:val="top"/>
          </w:tcPr>
          <w:p>
            <w:pPr>
              <w:spacing w:line="285" w:lineRule="auto"/>
              <w:rPr>
                <w:rFonts w:ascii="Arial"/>
                <w:sz w:val="21"/>
              </w:rPr>
            </w:pPr>
          </w:p>
          <w:p>
            <w:pPr>
              <w:spacing w:line="285" w:lineRule="auto"/>
              <w:rPr>
                <w:rFonts w:ascii="Arial"/>
                <w:sz w:val="21"/>
              </w:rPr>
            </w:pPr>
          </w:p>
          <w:p>
            <w:pPr>
              <w:spacing w:before="68" w:line="183" w:lineRule="auto"/>
              <w:ind w:left="214"/>
              <w:rPr>
                <w:rFonts w:ascii="宋体" w:hAnsi="宋体" w:eastAsia="宋体" w:cs="宋体"/>
                <w:sz w:val="21"/>
                <w:szCs w:val="21"/>
              </w:rPr>
            </w:pPr>
            <w:r>
              <w:rPr>
                <w:rFonts w:ascii="宋体" w:hAnsi="宋体" w:eastAsia="宋体" w:cs="宋体"/>
                <w:sz w:val="21"/>
                <w:szCs w:val="21"/>
              </w:rPr>
              <w:t>2</w:t>
            </w:r>
          </w:p>
        </w:tc>
        <w:tc>
          <w:tcPr>
            <w:tcW w:w="1419" w:type="dxa"/>
            <w:vMerge w:val="restart"/>
            <w:tcBorders>
              <w:bottom w:val="nil"/>
            </w:tcBorders>
            <w:vAlign w:val="top"/>
          </w:tcPr>
          <w:p>
            <w:pPr>
              <w:spacing w:line="359" w:lineRule="auto"/>
              <w:rPr>
                <w:rFonts w:ascii="Arial"/>
                <w:sz w:val="21"/>
              </w:rPr>
            </w:pPr>
          </w:p>
          <w:p>
            <w:pPr>
              <w:spacing w:before="68" w:line="245" w:lineRule="auto"/>
              <w:ind w:left="100" w:right="237"/>
              <w:rPr>
                <w:rFonts w:ascii="宋体" w:hAnsi="宋体" w:eastAsia="宋体" w:cs="宋体"/>
                <w:sz w:val="21"/>
                <w:szCs w:val="21"/>
              </w:rPr>
            </w:pPr>
            <w:r>
              <w:rPr>
                <w:rFonts w:ascii="宋体" w:hAnsi="宋体" w:eastAsia="宋体" w:cs="宋体"/>
                <w:spacing w:val="4"/>
                <w:sz w:val="21"/>
                <w:szCs w:val="21"/>
              </w:rPr>
              <w:t>互联网上网</w:t>
            </w:r>
            <w:r>
              <w:rPr>
                <w:rFonts w:ascii="宋体" w:hAnsi="宋体" w:eastAsia="宋体" w:cs="宋体"/>
                <w:sz w:val="21"/>
                <w:szCs w:val="21"/>
              </w:rPr>
              <w:t xml:space="preserve"> </w:t>
            </w:r>
            <w:r>
              <w:rPr>
                <w:rFonts w:ascii="宋体" w:hAnsi="宋体" w:eastAsia="宋体" w:cs="宋体"/>
                <w:spacing w:val="-3"/>
                <w:sz w:val="21"/>
                <w:szCs w:val="21"/>
              </w:rPr>
              <w:t>服务</w:t>
            </w:r>
          </w:p>
        </w:tc>
        <w:tc>
          <w:tcPr>
            <w:tcW w:w="3138" w:type="dxa"/>
            <w:vAlign w:val="top"/>
          </w:tcPr>
          <w:p>
            <w:pPr>
              <w:spacing w:before="247" w:line="219" w:lineRule="auto"/>
              <w:ind w:left="82"/>
              <w:rPr>
                <w:rFonts w:ascii="宋体" w:hAnsi="宋体" w:eastAsia="宋体" w:cs="宋体"/>
                <w:sz w:val="21"/>
                <w:szCs w:val="21"/>
              </w:rPr>
            </w:pPr>
            <w:r>
              <w:rPr>
                <w:rFonts w:ascii="宋体" w:hAnsi="宋体" w:eastAsia="宋体" w:cs="宋体"/>
                <w:spacing w:val="19"/>
                <w:sz w:val="21"/>
                <w:szCs w:val="21"/>
              </w:rPr>
              <w:t>1.居民住宅楼(院)内</w:t>
            </w:r>
          </w:p>
        </w:tc>
        <w:tc>
          <w:tcPr>
            <w:tcW w:w="9069" w:type="dxa"/>
            <w:vAlign w:val="top"/>
          </w:tcPr>
          <w:p>
            <w:pPr>
              <w:spacing w:before="118" w:line="250" w:lineRule="auto"/>
              <w:ind w:left="114" w:right="204" w:hanging="5"/>
              <w:rPr>
                <w:rFonts w:ascii="宋体" w:hAnsi="宋体" w:eastAsia="宋体" w:cs="宋体"/>
                <w:sz w:val="21"/>
                <w:szCs w:val="21"/>
              </w:rPr>
            </w:pPr>
            <w:r>
              <w:rPr>
                <w:rFonts w:ascii="宋体" w:hAnsi="宋体" w:eastAsia="宋体" w:cs="宋体"/>
                <w:spacing w:val="6"/>
                <w:sz w:val="21"/>
                <w:szCs w:val="21"/>
              </w:rPr>
              <w:t>《互联网上网服务营业场所管理条例》第九条中学、小学校园周围2</w:t>
            </w:r>
            <w:r>
              <w:rPr>
                <w:rFonts w:ascii="宋体" w:hAnsi="宋体" w:eastAsia="宋体" w:cs="宋体"/>
                <w:spacing w:val="5"/>
                <w:sz w:val="21"/>
                <w:szCs w:val="21"/>
              </w:rPr>
              <w:t>00米范围内和居民住宅楼</w:t>
            </w:r>
            <w:r>
              <w:rPr>
                <w:rFonts w:ascii="宋体" w:hAnsi="宋体" w:eastAsia="宋体" w:cs="宋体"/>
                <w:sz w:val="21"/>
                <w:szCs w:val="21"/>
              </w:rPr>
              <w:t xml:space="preserve"> </w:t>
            </w:r>
            <w:r>
              <w:rPr>
                <w:rFonts w:ascii="宋体" w:hAnsi="宋体" w:eastAsia="宋体" w:cs="宋体"/>
                <w:spacing w:val="5"/>
                <w:sz w:val="21"/>
                <w:szCs w:val="21"/>
              </w:rPr>
              <w:t>(院)内不得设立互联网上网服务营业场所。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4" w:hRule="atLeast"/>
        </w:trPr>
        <w:tc>
          <w:tcPr>
            <w:tcW w:w="564" w:type="dxa"/>
            <w:vMerge w:val="continue"/>
            <w:tcBorders>
              <w:top w:val="nil"/>
            </w:tcBorders>
            <w:vAlign w:val="top"/>
          </w:tcPr>
          <w:p>
            <w:pPr>
              <w:rPr>
                <w:rFonts w:ascii="Arial"/>
                <w:sz w:val="21"/>
              </w:rPr>
            </w:pPr>
          </w:p>
        </w:tc>
        <w:tc>
          <w:tcPr>
            <w:tcW w:w="1419" w:type="dxa"/>
            <w:vMerge w:val="continue"/>
            <w:tcBorders>
              <w:top w:val="nil"/>
            </w:tcBorders>
            <w:vAlign w:val="top"/>
          </w:tcPr>
          <w:p>
            <w:pPr>
              <w:rPr>
                <w:rFonts w:ascii="Arial"/>
                <w:sz w:val="21"/>
              </w:rPr>
            </w:pPr>
          </w:p>
        </w:tc>
        <w:tc>
          <w:tcPr>
            <w:tcW w:w="3138" w:type="dxa"/>
            <w:vAlign w:val="top"/>
          </w:tcPr>
          <w:p>
            <w:pPr>
              <w:spacing w:before="108" w:line="237" w:lineRule="auto"/>
              <w:ind w:left="82" w:right="326"/>
              <w:rPr>
                <w:rFonts w:ascii="宋体" w:hAnsi="宋体" w:eastAsia="宋体" w:cs="宋体"/>
                <w:sz w:val="21"/>
                <w:szCs w:val="21"/>
              </w:rPr>
            </w:pPr>
            <w:r>
              <w:rPr>
                <w:rFonts w:ascii="宋体" w:hAnsi="宋体" w:eastAsia="宋体" w:cs="宋体"/>
                <w:spacing w:val="-1"/>
                <w:sz w:val="21"/>
                <w:szCs w:val="21"/>
              </w:rPr>
              <w:t>2.中小学校校园周边二百米之</w:t>
            </w:r>
            <w:r>
              <w:rPr>
                <w:rFonts w:ascii="宋体" w:hAnsi="宋体" w:eastAsia="宋体" w:cs="宋体"/>
                <w:spacing w:val="2"/>
                <w:sz w:val="21"/>
                <w:szCs w:val="21"/>
              </w:rPr>
              <w:t xml:space="preserve"> </w:t>
            </w:r>
            <w:r>
              <w:rPr>
                <w:rFonts w:ascii="宋体" w:hAnsi="宋体" w:eastAsia="宋体" w:cs="宋体"/>
                <w:sz w:val="21"/>
                <w:szCs w:val="21"/>
              </w:rPr>
              <w:t>内</w:t>
            </w:r>
          </w:p>
        </w:tc>
        <w:tc>
          <w:tcPr>
            <w:tcW w:w="9069" w:type="dxa"/>
            <w:vAlign w:val="top"/>
          </w:tcPr>
          <w:p>
            <w:pPr>
              <w:spacing w:before="118" w:line="244" w:lineRule="auto"/>
              <w:ind w:left="114" w:right="124" w:hanging="105"/>
              <w:rPr>
                <w:rFonts w:ascii="宋体" w:hAnsi="宋体" w:eastAsia="宋体" w:cs="宋体"/>
                <w:sz w:val="21"/>
                <w:szCs w:val="21"/>
              </w:rPr>
            </w:pPr>
            <w:r>
              <w:rPr>
                <w:rFonts w:ascii="宋体" w:hAnsi="宋体" w:eastAsia="宋体" w:cs="宋体"/>
                <w:spacing w:val="3"/>
                <w:sz w:val="21"/>
                <w:szCs w:val="21"/>
              </w:rPr>
              <w:t>《河南省未成年人保护条例》第二十九条中小学</w:t>
            </w:r>
            <w:r>
              <w:rPr>
                <w:rFonts w:ascii="宋体" w:hAnsi="宋体" w:eastAsia="宋体" w:cs="宋体"/>
                <w:spacing w:val="2"/>
                <w:sz w:val="21"/>
                <w:szCs w:val="21"/>
              </w:rPr>
              <w:t>校校园周边二百米之内不得开设营业性歌舞娱乐</w:t>
            </w:r>
            <w:r>
              <w:rPr>
                <w:rFonts w:ascii="宋体" w:hAnsi="宋体" w:eastAsia="宋体" w:cs="宋体"/>
                <w:sz w:val="21"/>
                <w:szCs w:val="21"/>
              </w:rPr>
              <w:t xml:space="preserve"> </w:t>
            </w:r>
            <w:r>
              <w:rPr>
                <w:rFonts w:ascii="宋体" w:hAnsi="宋体" w:eastAsia="宋体" w:cs="宋体"/>
                <w:spacing w:val="3"/>
                <w:sz w:val="21"/>
                <w:szCs w:val="21"/>
              </w:rPr>
              <w:t>场所、电子游戏场所、互联网上网服务场所以及其他未成年人不适宜进入的</w:t>
            </w:r>
            <w:r>
              <w:rPr>
                <w:rFonts w:ascii="宋体" w:hAnsi="宋体" w:eastAsia="宋体" w:cs="宋体"/>
                <w:spacing w:val="2"/>
                <w:sz w:val="21"/>
                <w:szCs w:val="21"/>
              </w:rPr>
              <w:t>场所。</w:t>
            </w:r>
          </w:p>
        </w:tc>
      </w:tr>
    </w:tbl>
    <w:p>
      <w:pPr>
        <w:rPr>
          <w:rFonts w:ascii="Arial"/>
          <w:sz w:val="21"/>
        </w:rPr>
      </w:pPr>
    </w:p>
    <w:p>
      <w:pPr>
        <w:sectPr>
          <w:footerReference r:id="rId7" w:type="default"/>
          <w:pgSz w:w="17000" w:h="12230"/>
          <w:pgMar w:top="400" w:right="1454" w:bottom="1372" w:left="1344" w:header="0" w:footer="1114" w:gutter="0"/>
          <w:cols w:space="720" w:num="1"/>
        </w:sectPr>
      </w:pPr>
    </w:p>
    <w:p/>
    <w:p/>
    <w:p/>
    <w:p/>
    <w:p/>
    <w:p>
      <w:pPr>
        <w:spacing w:line="237" w:lineRule="exact"/>
      </w:pPr>
    </w:p>
    <w:tbl>
      <w:tblPr>
        <w:tblStyle w:val="6"/>
        <w:tblW w:w="1420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54"/>
        <w:gridCol w:w="1429"/>
        <w:gridCol w:w="3118"/>
        <w:gridCol w:w="909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22" w:hRule="atLeast"/>
        </w:trPr>
        <w:tc>
          <w:tcPr>
            <w:tcW w:w="554" w:type="dxa"/>
            <w:vAlign w:val="top"/>
          </w:tcPr>
          <w:p>
            <w:pPr>
              <w:spacing w:line="285" w:lineRule="auto"/>
              <w:rPr>
                <w:rFonts w:ascii="Arial"/>
                <w:sz w:val="21"/>
              </w:rPr>
            </w:pPr>
          </w:p>
          <w:p>
            <w:pPr>
              <w:spacing w:line="285" w:lineRule="auto"/>
              <w:rPr>
                <w:rFonts w:ascii="Arial"/>
                <w:sz w:val="21"/>
              </w:rPr>
            </w:pPr>
          </w:p>
          <w:p>
            <w:pPr>
              <w:spacing w:line="286" w:lineRule="auto"/>
              <w:rPr>
                <w:rFonts w:ascii="Arial"/>
                <w:sz w:val="21"/>
              </w:rPr>
            </w:pPr>
          </w:p>
          <w:p>
            <w:pPr>
              <w:spacing w:line="286" w:lineRule="auto"/>
              <w:rPr>
                <w:rFonts w:ascii="Arial"/>
                <w:sz w:val="21"/>
              </w:rPr>
            </w:pPr>
          </w:p>
          <w:p>
            <w:pPr>
              <w:spacing w:before="65" w:line="183" w:lineRule="auto"/>
              <w:ind w:left="215"/>
              <w:rPr>
                <w:rFonts w:ascii="宋体" w:hAnsi="宋体" w:eastAsia="宋体" w:cs="宋体"/>
                <w:sz w:val="20"/>
                <w:szCs w:val="20"/>
              </w:rPr>
            </w:pPr>
            <w:r>
              <w:rPr>
                <w:rFonts w:ascii="宋体" w:hAnsi="宋体" w:eastAsia="宋体" w:cs="宋体"/>
                <w:sz w:val="20"/>
                <w:szCs w:val="20"/>
              </w:rPr>
              <w:t>3</w:t>
            </w:r>
          </w:p>
        </w:tc>
        <w:tc>
          <w:tcPr>
            <w:tcW w:w="1429" w:type="dxa"/>
            <w:vAlign w:val="top"/>
          </w:tcPr>
          <w:p>
            <w:pPr>
              <w:spacing w:line="257" w:lineRule="auto"/>
              <w:rPr>
                <w:rFonts w:ascii="Arial"/>
                <w:sz w:val="21"/>
              </w:rPr>
            </w:pPr>
          </w:p>
          <w:p>
            <w:pPr>
              <w:spacing w:line="257" w:lineRule="auto"/>
              <w:rPr>
                <w:rFonts w:ascii="Arial"/>
                <w:sz w:val="21"/>
              </w:rPr>
            </w:pPr>
          </w:p>
          <w:p>
            <w:pPr>
              <w:spacing w:line="258" w:lineRule="auto"/>
              <w:rPr>
                <w:rFonts w:ascii="Arial"/>
                <w:sz w:val="21"/>
              </w:rPr>
            </w:pPr>
          </w:p>
          <w:p>
            <w:pPr>
              <w:spacing w:before="65" w:line="264" w:lineRule="auto"/>
              <w:ind w:left="90" w:right="115"/>
              <w:jc w:val="both"/>
              <w:rPr>
                <w:rFonts w:ascii="宋体" w:hAnsi="宋体" w:eastAsia="宋体" w:cs="宋体"/>
                <w:sz w:val="20"/>
                <w:szCs w:val="20"/>
              </w:rPr>
            </w:pPr>
            <w:r>
              <w:rPr>
                <w:rFonts w:ascii="宋体" w:hAnsi="宋体" w:eastAsia="宋体" w:cs="宋体"/>
                <w:spacing w:val="2"/>
                <w:sz w:val="20"/>
                <w:szCs w:val="20"/>
              </w:rPr>
              <w:t>产生油烟、异</w:t>
            </w:r>
            <w:r>
              <w:rPr>
                <w:rFonts w:ascii="宋体" w:hAnsi="宋体" w:eastAsia="宋体" w:cs="宋体"/>
                <w:sz w:val="20"/>
                <w:szCs w:val="20"/>
              </w:rPr>
              <w:t xml:space="preserve"> </w:t>
            </w:r>
            <w:r>
              <w:rPr>
                <w:rFonts w:ascii="宋体" w:hAnsi="宋体" w:eastAsia="宋体" w:cs="宋体"/>
                <w:spacing w:val="1"/>
                <w:sz w:val="20"/>
                <w:szCs w:val="20"/>
              </w:rPr>
              <w:t>味、废气的餐</w:t>
            </w:r>
            <w:r>
              <w:rPr>
                <w:rFonts w:ascii="宋体" w:hAnsi="宋体" w:eastAsia="宋体" w:cs="宋体"/>
                <w:sz w:val="20"/>
                <w:szCs w:val="20"/>
              </w:rPr>
              <w:t xml:space="preserve"> </w:t>
            </w:r>
            <w:r>
              <w:rPr>
                <w:rFonts w:ascii="宋体" w:hAnsi="宋体" w:eastAsia="宋体" w:cs="宋体"/>
                <w:spacing w:val="-2"/>
                <w:sz w:val="20"/>
                <w:szCs w:val="20"/>
              </w:rPr>
              <w:t>饮服务</w:t>
            </w:r>
          </w:p>
        </w:tc>
        <w:tc>
          <w:tcPr>
            <w:tcW w:w="3118" w:type="dxa"/>
            <w:vAlign w:val="top"/>
          </w:tcPr>
          <w:p>
            <w:pPr>
              <w:spacing w:line="321" w:lineRule="auto"/>
              <w:rPr>
                <w:rFonts w:ascii="Arial"/>
                <w:sz w:val="21"/>
              </w:rPr>
            </w:pPr>
          </w:p>
          <w:p>
            <w:pPr>
              <w:spacing w:line="322" w:lineRule="auto"/>
              <w:rPr>
                <w:rFonts w:ascii="Arial"/>
                <w:sz w:val="21"/>
              </w:rPr>
            </w:pPr>
          </w:p>
          <w:p>
            <w:pPr>
              <w:spacing w:before="65" w:line="258" w:lineRule="auto"/>
              <w:ind w:left="82" w:right="133"/>
              <w:rPr>
                <w:rFonts w:ascii="宋体" w:hAnsi="宋体" w:eastAsia="宋体" w:cs="宋体"/>
                <w:sz w:val="20"/>
                <w:szCs w:val="20"/>
              </w:rPr>
            </w:pPr>
            <w:r>
              <w:rPr>
                <w:rFonts w:ascii="宋体" w:hAnsi="宋体" w:eastAsia="宋体" w:cs="宋体"/>
                <w:spacing w:val="6"/>
                <w:sz w:val="20"/>
                <w:szCs w:val="20"/>
              </w:rPr>
              <w:t>居民住宅楼、未配套设立专用烟</w:t>
            </w:r>
            <w:r>
              <w:rPr>
                <w:rFonts w:ascii="宋体" w:hAnsi="宋体" w:eastAsia="宋体" w:cs="宋体"/>
                <w:spacing w:val="7"/>
                <w:sz w:val="20"/>
                <w:szCs w:val="20"/>
              </w:rPr>
              <w:t xml:space="preserve"> </w:t>
            </w:r>
            <w:r>
              <w:rPr>
                <w:rFonts w:ascii="宋体" w:hAnsi="宋体" w:eastAsia="宋体" w:cs="宋体"/>
                <w:spacing w:val="9"/>
                <w:sz w:val="20"/>
                <w:szCs w:val="20"/>
              </w:rPr>
              <w:t>道的商住综合楼以及商住综合</w:t>
            </w:r>
            <w:r>
              <w:rPr>
                <w:rFonts w:ascii="宋体" w:hAnsi="宋体" w:eastAsia="宋体" w:cs="宋体"/>
                <w:spacing w:val="5"/>
                <w:sz w:val="20"/>
                <w:szCs w:val="20"/>
              </w:rPr>
              <w:t xml:space="preserve">  </w:t>
            </w:r>
            <w:r>
              <w:rPr>
                <w:rFonts w:ascii="宋体" w:hAnsi="宋体" w:eastAsia="宋体" w:cs="宋体"/>
                <w:spacing w:val="10"/>
                <w:sz w:val="20"/>
                <w:szCs w:val="20"/>
              </w:rPr>
              <w:t>楼内与居住层相邻的商业楼层</w:t>
            </w:r>
            <w:r>
              <w:rPr>
                <w:rFonts w:ascii="宋体" w:hAnsi="宋体" w:eastAsia="宋体" w:cs="宋体"/>
                <w:sz w:val="20"/>
                <w:szCs w:val="20"/>
              </w:rPr>
              <w:t xml:space="preserve">  内</w:t>
            </w:r>
          </w:p>
        </w:tc>
        <w:tc>
          <w:tcPr>
            <w:tcW w:w="9099" w:type="dxa"/>
            <w:vAlign w:val="top"/>
          </w:tcPr>
          <w:p>
            <w:pPr>
              <w:spacing w:line="336" w:lineRule="auto"/>
              <w:rPr>
                <w:rFonts w:ascii="Arial"/>
                <w:sz w:val="21"/>
              </w:rPr>
            </w:pPr>
          </w:p>
          <w:p>
            <w:pPr>
              <w:spacing w:before="65" w:line="252" w:lineRule="auto"/>
              <w:ind w:left="113" w:right="204" w:hanging="100"/>
              <w:jc w:val="both"/>
              <w:rPr>
                <w:rFonts w:ascii="宋体" w:hAnsi="宋体" w:eastAsia="宋体" w:cs="宋体"/>
                <w:sz w:val="20"/>
                <w:szCs w:val="20"/>
              </w:rPr>
            </w:pPr>
            <w:r>
              <w:rPr>
                <w:rFonts w:ascii="宋体" w:hAnsi="宋体" w:eastAsia="宋体" w:cs="宋体"/>
                <w:spacing w:val="10"/>
                <w:sz w:val="20"/>
                <w:szCs w:val="20"/>
              </w:rPr>
              <w:t>《大气污染防治法》第八十一条排放油烟的餐饮服务业经营者应当安装油烟净化设施并保持正常</w:t>
            </w:r>
            <w:r>
              <w:rPr>
                <w:rFonts w:ascii="宋体" w:hAnsi="宋体" w:eastAsia="宋体" w:cs="宋体"/>
                <w:spacing w:val="9"/>
                <w:sz w:val="20"/>
                <w:szCs w:val="20"/>
              </w:rPr>
              <w:t xml:space="preserve"> 使用，或者采取其他油烟净化措施，使油烟达标排放，并防止对附近居民的正</w:t>
            </w:r>
            <w:r>
              <w:rPr>
                <w:rFonts w:ascii="宋体" w:hAnsi="宋体" w:eastAsia="宋体" w:cs="宋体"/>
                <w:spacing w:val="8"/>
                <w:sz w:val="20"/>
                <w:szCs w:val="20"/>
              </w:rPr>
              <w:t>常生活环境造成污</w:t>
            </w:r>
            <w:r>
              <w:rPr>
                <w:rFonts w:ascii="宋体" w:hAnsi="宋体" w:eastAsia="宋体" w:cs="宋体"/>
                <w:sz w:val="20"/>
                <w:szCs w:val="20"/>
              </w:rPr>
              <w:t xml:space="preserve"> </w:t>
            </w:r>
            <w:r>
              <w:rPr>
                <w:rFonts w:ascii="宋体" w:hAnsi="宋体" w:eastAsia="宋体" w:cs="宋体"/>
                <w:spacing w:val="-6"/>
                <w:sz w:val="20"/>
                <w:szCs w:val="20"/>
              </w:rPr>
              <w:t>染</w:t>
            </w:r>
            <w:r>
              <w:rPr>
                <w:rFonts w:ascii="宋体" w:hAnsi="宋体" w:eastAsia="宋体" w:cs="宋体"/>
                <w:spacing w:val="40"/>
                <w:sz w:val="20"/>
                <w:szCs w:val="20"/>
              </w:rPr>
              <w:t xml:space="preserve"> </w:t>
            </w:r>
            <w:r>
              <w:rPr>
                <w:rFonts w:ascii="宋体" w:hAnsi="宋体" w:eastAsia="宋体" w:cs="宋体"/>
                <w:spacing w:val="-6"/>
                <w:sz w:val="20"/>
                <w:szCs w:val="20"/>
              </w:rPr>
              <w:t>。</w:t>
            </w:r>
          </w:p>
          <w:p>
            <w:pPr>
              <w:spacing w:before="121" w:line="257" w:lineRule="auto"/>
              <w:ind w:left="113" w:right="205"/>
              <w:rPr>
                <w:rFonts w:ascii="宋体" w:hAnsi="宋体" w:eastAsia="宋体" w:cs="宋体"/>
                <w:sz w:val="20"/>
                <w:szCs w:val="20"/>
              </w:rPr>
            </w:pPr>
            <w:r>
              <w:rPr>
                <w:rFonts w:ascii="宋体" w:hAnsi="宋体" w:eastAsia="宋体" w:cs="宋体"/>
                <w:spacing w:val="9"/>
                <w:sz w:val="20"/>
                <w:szCs w:val="20"/>
              </w:rPr>
              <w:t>禁止在居民住宅楼、未配套设立专用烟道的商住综合楼以及商住综合楼内与</w:t>
            </w:r>
            <w:r>
              <w:rPr>
                <w:rFonts w:ascii="宋体" w:hAnsi="宋体" w:eastAsia="宋体" w:cs="宋体"/>
                <w:spacing w:val="8"/>
                <w:sz w:val="20"/>
                <w:szCs w:val="20"/>
              </w:rPr>
              <w:t>居住层相邻的商业楼</w:t>
            </w:r>
            <w:r>
              <w:rPr>
                <w:rFonts w:ascii="宋体" w:hAnsi="宋体" w:eastAsia="宋体" w:cs="宋体"/>
                <w:sz w:val="20"/>
                <w:szCs w:val="20"/>
              </w:rPr>
              <w:t xml:space="preserve"> </w:t>
            </w:r>
            <w:r>
              <w:rPr>
                <w:rFonts w:ascii="宋体" w:hAnsi="宋体" w:eastAsia="宋体" w:cs="宋体"/>
                <w:spacing w:val="9"/>
                <w:sz w:val="20"/>
                <w:szCs w:val="20"/>
              </w:rPr>
              <w:t>层内新建、改建、扩建产生油烟、异味、废气的餐饮服务项目。</w:t>
            </w:r>
          </w:p>
          <w:p>
            <w:pPr>
              <w:spacing w:before="71" w:line="219" w:lineRule="auto"/>
              <w:ind w:left="113"/>
              <w:rPr>
                <w:rFonts w:ascii="宋体" w:hAnsi="宋体" w:eastAsia="宋体" w:cs="宋体"/>
                <w:sz w:val="20"/>
                <w:szCs w:val="20"/>
              </w:rPr>
            </w:pPr>
            <w:r>
              <w:rPr>
                <w:rFonts w:ascii="宋体" w:hAnsi="宋体" w:eastAsia="宋体" w:cs="宋体"/>
                <w:spacing w:val="8"/>
                <w:sz w:val="20"/>
                <w:szCs w:val="20"/>
              </w:rPr>
              <w:t>任何单位和个人不得在当地人民政府禁止的区域内露天烧烤食品或者为露天烧烤食品提供场地。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9" w:hRule="atLeast"/>
        </w:trPr>
        <w:tc>
          <w:tcPr>
            <w:tcW w:w="554" w:type="dxa"/>
            <w:vMerge w:val="restart"/>
            <w:tcBorders>
              <w:bottom w:val="nil"/>
            </w:tcBorders>
            <w:vAlign w:val="top"/>
          </w:tcPr>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before="65" w:line="183" w:lineRule="auto"/>
              <w:ind w:left="215"/>
              <w:rPr>
                <w:rFonts w:ascii="宋体" w:hAnsi="宋体" w:eastAsia="宋体" w:cs="宋体"/>
                <w:sz w:val="20"/>
                <w:szCs w:val="20"/>
              </w:rPr>
            </w:pPr>
            <w:r>
              <w:rPr>
                <w:rFonts w:ascii="宋体" w:hAnsi="宋体" w:eastAsia="宋体" w:cs="宋体"/>
                <w:sz w:val="20"/>
                <w:szCs w:val="20"/>
              </w:rPr>
              <w:t>4</w:t>
            </w:r>
          </w:p>
        </w:tc>
        <w:tc>
          <w:tcPr>
            <w:tcW w:w="1429" w:type="dxa"/>
            <w:vMerge w:val="restart"/>
            <w:tcBorders>
              <w:bottom w:val="nil"/>
            </w:tcBorders>
            <w:vAlign w:val="top"/>
          </w:tcPr>
          <w:p>
            <w:pPr>
              <w:spacing w:line="267" w:lineRule="auto"/>
              <w:rPr>
                <w:rFonts w:ascii="Arial"/>
                <w:sz w:val="21"/>
              </w:rPr>
            </w:pPr>
          </w:p>
          <w:p>
            <w:pPr>
              <w:spacing w:line="267" w:lineRule="auto"/>
              <w:rPr>
                <w:rFonts w:ascii="Arial"/>
                <w:sz w:val="21"/>
              </w:rPr>
            </w:pPr>
          </w:p>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before="65" w:line="321" w:lineRule="exact"/>
              <w:ind w:left="90"/>
              <w:rPr>
                <w:rFonts w:ascii="宋体" w:hAnsi="宋体" w:eastAsia="宋体" w:cs="宋体"/>
                <w:sz w:val="20"/>
                <w:szCs w:val="20"/>
              </w:rPr>
            </w:pPr>
            <w:r>
              <w:rPr>
                <w:rFonts w:ascii="宋体" w:hAnsi="宋体" w:eastAsia="宋体" w:cs="宋体"/>
                <w:spacing w:val="-2"/>
                <w:position w:val="8"/>
                <w:sz w:val="20"/>
                <w:szCs w:val="20"/>
              </w:rPr>
              <w:t>开办营业性</w:t>
            </w:r>
          </w:p>
          <w:p>
            <w:pPr>
              <w:spacing w:line="220" w:lineRule="auto"/>
              <w:ind w:left="90"/>
              <w:rPr>
                <w:rFonts w:ascii="宋体" w:hAnsi="宋体" w:eastAsia="宋体" w:cs="宋体"/>
                <w:sz w:val="20"/>
                <w:szCs w:val="20"/>
              </w:rPr>
            </w:pPr>
            <w:r>
              <w:rPr>
                <w:rFonts w:ascii="宋体" w:hAnsi="宋体" w:eastAsia="宋体" w:cs="宋体"/>
                <w:spacing w:val="-2"/>
                <w:sz w:val="20"/>
                <w:szCs w:val="20"/>
              </w:rPr>
              <w:t>娱乐场所</w:t>
            </w:r>
          </w:p>
        </w:tc>
        <w:tc>
          <w:tcPr>
            <w:tcW w:w="3118" w:type="dxa"/>
            <w:vAlign w:val="top"/>
          </w:tcPr>
          <w:p>
            <w:pPr>
              <w:spacing w:before="269" w:line="255" w:lineRule="auto"/>
              <w:ind w:left="82" w:right="137"/>
              <w:rPr>
                <w:rFonts w:ascii="宋体" w:hAnsi="宋体" w:eastAsia="宋体" w:cs="宋体"/>
                <w:sz w:val="20"/>
                <w:szCs w:val="20"/>
              </w:rPr>
            </w:pPr>
            <w:r>
              <w:rPr>
                <w:rFonts w:ascii="宋体" w:hAnsi="宋体" w:eastAsia="宋体" w:cs="宋体"/>
                <w:spacing w:val="5"/>
                <w:sz w:val="20"/>
                <w:szCs w:val="20"/>
              </w:rPr>
              <w:t>1.居民楼、博物馆、图书馆和被</w:t>
            </w:r>
            <w:r>
              <w:rPr>
                <w:rFonts w:ascii="宋体" w:hAnsi="宋体" w:eastAsia="宋体" w:cs="宋体"/>
                <w:spacing w:val="12"/>
                <w:sz w:val="20"/>
                <w:szCs w:val="20"/>
              </w:rPr>
              <w:t xml:space="preserve"> </w:t>
            </w:r>
            <w:r>
              <w:rPr>
                <w:rFonts w:ascii="宋体" w:hAnsi="宋体" w:eastAsia="宋体" w:cs="宋体"/>
                <w:spacing w:val="10"/>
                <w:sz w:val="20"/>
                <w:szCs w:val="20"/>
              </w:rPr>
              <w:t>核定为文物保护单位的建筑物</w:t>
            </w:r>
            <w:r>
              <w:rPr>
                <w:rFonts w:ascii="宋体" w:hAnsi="宋体" w:eastAsia="宋体" w:cs="宋体"/>
                <w:sz w:val="20"/>
                <w:szCs w:val="20"/>
              </w:rPr>
              <w:t xml:space="preserve">  内</w:t>
            </w:r>
          </w:p>
        </w:tc>
        <w:tc>
          <w:tcPr>
            <w:tcW w:w="9099" w:type="dxa"/>
            <w:vMerge w:val="restart"/>
            <w:tcBorders>
              <w:bottom w:val="nil"/>
            </w:tcBorders>
            <w:vAlign w:val="top"/>
          </w:tcPr>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65" w:line="264" w:lineRule="auto"/>
              <w:ind w:left="112" w:right="166" w:hanging="99"/>
              <w:jc w:val="both"/>
              <w:rPr>
                <w:rFonts w:ascii="宋体" w:hAnsi="宋体" w:eastAsia="宋体" w:cs="宋体"/>
                <w:sz w:val="20"/>
                <w:szCs w:val="20"/>
              </w:rPr>
            </w:pPr>
            <w:r>
              <w:rPr>
                <w:rFonts w:ascii="宋体" w:hAnsi="宋体" w:eastAsia="宋体" w:cs="宋体"/>
                <w:spacing w:val="6"/>
                <w:sz w:val="20"/>
                <w:szCs w:val="20"/>
              </w:rPr>
              <w:t>《娱乐场所管理办法》第七条娱乐场所不得设在下列地点：</w:t>
            </w:r>
            <w:r>
              <w:rPr>
                <w:rFonts w:ascii="宋体" w:hAnsi="宋体" w:eastAsia="宋体" w:cs="宋体"/>
                <w:spacing w:val="5"/>
                <w:sz w:val="20"/>
                <w:szCs w:val="20"/>
              </w:rPr>
              <w:t xml:space="preserve">    </w:t>
            </w:r>
            <w:r>
              <w:rPr>
                <w:rFonts w:ascii="宋体" w:hAnsi="宋体" w:eastAsia="宋体" w:cs="宋体"/>
                <w:spacing w:val="6"/>
                <w:sz w:val="20"/>
                <w:szCs w:val="20"/>
              </w:rPr>
              <w:t>(一)居民楼、博物馆</w:t>
            </w:r>
            <w:r>
              <w:rPr>
                <w:rFonts w:ascii="宋体" w:hAnsi="宋体" w:eastAsia="宋体" w:cs="宋体"/>
                <w:spacing w:val="5"/>
                <w:sz w:val="20"/>
                <w:szCs w:val="20"/>
              </w:rPr>
              <w:t>、图书馆和被</w:t>
            </w:r>
            <w:r>
              <w:rPr>
                <w:rFonts w:ascii="宋体" w:hAnsi="宋体" w:eastAsia="宋体" w:cs="宋体"/>
                <w:spacing w:val="1"/>
                <w:sz w:val="20"/>
                <w:szCs w:val="20"/>
              </w:rPr>
              <w:t xml:space="preserve"> </w:t>
            </w:r>
            <w:r>
              <w:rPr>
                <w:rFonts w:ascii="宋体" w:hAnsi="宋体" w:eastAsia="宋体" w:cs="宋体"/>
                <w:spacing w:val="9"/>
                <w:sz w:val="20"/>
                <w:szCs w:val="20"/>
              </w:rPr>
              <w:t>核定为文物保护单位的建筑物内；</w:t>
            </w:r>
            <w:r>
              <w:rPr>
                <w:rFonts w:ascii="宋体" w:hAnsi="宋体" w:eastAsia="宋体" w:cs="宋体"/>
                <w:spacing w:val="8"/>
                <w:sz w:val="20"/>
                <w:szCs w:val="20"/>
              </w:rPr>
              <w:t xml:space="preserve">    </w:t>
            </w:r>
            <w:r>
              <w:rPr>
                <w:rFonts w:ascii="宋体" w:hAnsi="宋体" w:eastAsia="宋体" w:cs="宋体"/>
                <w:spacing w:val="9"/>
                <w:sz w:val="20"/>
                <w:szCs w:val="20"/>
              </w:rPr>
              <w:t>(二)居民住宅区和学校、医院、机关周围；(三)车</w:t>
            </w:r>
            <w:r>
              <w:rPr>
                <w:rFonts w:ascii="宋体" w:hAnsi="宋体" w:eastAsia="宋体" w:cs="宋体"/>
                <w:spacing w:val="8"/>
                <w:sz w:val="20"/>
                <w:szCs w:val="20"/>
              </w:rPr>
              <w:t>站、机</w:t>
            </w:r>
            <w:r>
              <w:rPr>
                <w:rFonts w:ascii="宋体" w:hAnsi="宋体" w:eastAsia="宋体" w:cs="宋体"/>
                <w:sz w:val="20"/>
                <w:szCs w:val="20"/>
              </w:rPr>
              <w:t xml:space="preserve"> </w:t>
            </w:r>
            <w:r>
              <w:rPr>
                <w:rFonts w:ascii="宋体" w:hAnsi="宋体" w:eastAsia="宋体" w:cs="宋体"/>
                <w:spacing w:val="19"/>
                <w:sz w:val="20"/>
                <w:szCs w:val="20"/>
              </w:rPr>
              <w:t>场等人群密集的场所；(四)建筑物地下一层</w:t>
            </w:r>
            <w:r>
              <w:rPr>
                <w:rFonts w:ascii="宋体" w:hAnsi="宋体" w:eastAsia="宋体" w:cs="宋体"/>
                <w:spacing w:val="18"/>
                <w:sz w:val="20"/>
                <w:szCs w:val="20"/>
              </w:rPr>
              <w:t>以下；(五)与危险化学品仓库毗连的区域。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69" w:hRule="atLeast"/>
        </w:trPr>
        <w:tc>
          <w:tcPr>
            <w:tcW w:w="554" w:type="dxa"/>
            <w:vMerge w:val="continue"/>
            <w:tcBorders>
              <w:top w:val="nil"/>
              <w:bottom w:val="nil"/>
            </w:tcBorders>
            <w:vAlign w:val="top"/>
          </w:tcPr>
          <w:p>
            <w:pPr>
              <w:rPr>
                <w:rFonts w:ascii="Arial"/>
                <w:sz w:val="21"/>
              </w:rPr>
            </w:pPr>
          </w:p>
        </w:tc>
        <w:tc>
          <w:tcPr>
            <w:tcW w:w="1429" w:type="dxa"/>
            <w:vMerge w:val="continue"/>
            <w:tcBorders>
              <w:top w:val="nil"/>
              <w:bottom w:val="nil"/>
            </w:tcBorders>
            <w:vAlign w:val="top"/>
          </w:tcPr>
          <w:p>
            <w:pPr>
              <w:rPr>
                <w:rFonts w:ascii="Arial"/>
                <w:sz w:val="21"/>
              </w:rPr>
            </w:pPr>
          </w:p>
        </w:tc>
        <w:tc>
          <w:tcPr>
            <w:tcW w:w="3118" w:type="dxa"/>
            <w:vAlign w:val="top"/>
          </w:tcPr>
          <w:p>
            <w:pPr>
              <w:spacing w:before="221" w:line="235" w:lineRule="auto"/>
              <w:ind w:left="82" w:right="98"/>
              <w:rPr>
                <w:rFonts w:ascii="宋体" w:hAnsi="宋体" w:eastAsia="宋体" w:cs="宋体"/>
                <w:sz w:val="20"/>
                <w:szCs w:val="20"/>
              </w:rPr>
            </w:pPr>
            <w:r>
              <w:rPr>
                <w:rFonts w:ascii="宋体" w:hAnsi="宋体" w:eastAsia="宋体" w:cs="宋体"/>
                <w:spacing w:val="8"/>
                <w:sz w:val="20"/>
                <w:szCs w:val="20"/>
              </w:rPr>
              <w:t>2.居民住宅区和学校、医院、机</w:t>
            </w:r>
            <w:r>
              <w:rPr>
                <w:rFonts w:ascii="宋体" w:hAnsi="宋体" w:eastAsia="宋体" w:cs="宋体"/>
                <w:spacing w:val="6"/>
                <w:sz w:val="20"/>
                <w:szCs w:val="20"/>
              </w:rPr>
              <w:t xml:space="preserve"> </w:t>
            </w:r>
            <w:r>
              <w:rPr>
                <w:rFonts w:ascii="宋体" w:hAnsi="宋体" w:eastAsia="宋体" w:cs="宋体"/>
                <w:spacing w:val="19"/>
                <w:sz w:val="20"/>
                <w:szCs w:val="20"/>
              </w:rPr>
              <w:t>关周围</w:t>
            </w:r>
          </w:p>
        </w:tc>
        <w:tc>
          <w:tcPr>
            <w:tcW w:w="9099" w:type="dxa"/>
            <w:vMerge w:val="continue"/>
            <w:tcBorders>
              <w:top w:val="nil"/>
              <w:bottom w:val="nil"/>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9" w:hRule="atLeast"/>
        </w:trPr>
        <w:tc>
          <w:tcPr>
            <w:tcW w:w="554" w:type="dxa"/>
            <w:vMerge w:val="continue"/>
            <w:tcBorders>
              <w:top w:val="nil"/>
              <w:bottom w:val="nil"/>
            </w:tcBorders>
            <w:vAlign w:val="top"/>
          </w:tcPr>
          <w:p>
            <w:pPr>
              <w:rPr>
                <w:rFonts w:ascii="Arial"/>
                <w:sz w:val="21"/>
              </w:rPr>
            </w:pPr>
          </w:p>
        </w:tc>
        <w:tc>
          <w:tcPr>
            <w:tcW w:w="1429" w:type="dxa"/>
            <w:vMerge w:val="continue"/>
            <w:tcBorders>
              <w:top w:val="nil"/>
              <w:bottom w:val="nil"/>
            </w:tcBorders>
            <w:vAlign w:val="top"/>
          </w:tcPr>
          <w:p>
            <w:pPr>
              <w:rPr>
                <w:rFonts w:ascii="Arial"/>
                <w:sz w:val="21"/>
              </w:rPr>
            </w:pPr>
          </w:p>
        </w:tc>
        <w:tc>
          <w:tcPr>
            <w:tcW w:w="3118" w:type="dxa"/>
            <w:vAlign w:val="top"/>
          </w:tcPr>
          <w:p>
            <w:pPr>
              <w:spacing w:before="211" w:line="219" w:lineRule="auto"/>
              <w:ind w:left="82"/>
              <w:rPr>
                <w:rFonts w:ascii="宋体" w:hAnsi="宋体" w:eastAsia="宋体" w:cs="宋体"/>
                <w:sz w:val="20"/>
                <w:szCs w:val="20"/>
              </w:rPr>
            </w:pPr>
            <w:r>
              <w:rPr>
                <w:rFonts w:ascii="宋体" w:hAnsi="宋体" w:eastAsia="宋体" w:cs="宋体"/>
                <w:spacing w:val="8"/>
                <w:sz w:val="20"/>
                <w:szCs w:val="20"/>
              </w:rPr>
              <w:t>3.车站、机场等人群密集的场所</w:t>
            </w:r>
          </w:p>
        </w:tc>
        <w:tc>
          <w:tcPr>
            <w:tcW w:w="9099" w:type="dxa"/>
            <w:vMerge w:val="continue"/>
            <w:tcBorders>
              <w:top w:val="nil"/>
              <w:bottom w:val="nil"/>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9" w:hRule="atLeast"/>
        </w:trPr>
        <w:tc>
          <w:tcPr>
            <w:tcW w:w="554" w:type="dxa"/>
            <w:vMerge w:val="continue"/>
            <w:tcBorders>
              <w:top w:val="nil"/>
              <w:bottom w:val="nil"/>
            </w:tcBorders>
            <w:vAlign w:val="top"/>
          </w:tcPr>
          <w:p>
            <w:pPr>
              <w:rPr>
                <w:rFonts w:ascii="Arial"/>
                <w:sz w:val="21"/>
              </w:rPr>
            </w:pPr>
          </w:p>
        </w:tc>
        <w:tc>
          <w:tcPr>
            <w:tcW w:w="1429" w:type="dxa"/>
            <w:vMerge w:val="continue"/>
            <w:tcBorders>
              <w:top w:val="nil"/>
              <w:bottom w:val="nil"/>
            </w:tcBorders>
            <w:vAlign w:val="top"/>
          </w:tcPr>
          <w:p>
            <w:pPr>
              <w:rPr>
                <w:rFonts w:ascii="Arial"/>
                <w:sz w:val="21"/>
              </w:rPr>
            </w:pPr>
          </w:p>
        </w:tc>
        <w:tc>
          <w:tcPr>
            <w:tcW w:w="3118" w:type="dxa"/>
            <w:vAlign w:val="top"/>
          </w:tcPr>
          <w:p>
            <w:pPr>
              <w:spacing w:before="244" w:line="219" w:lineRule="auto"/>
              <w:ind w:left="82"/>
              <w:rPr>
                <w:rFonts w:ascii="宋体" w:hAnsi="宋体" w:eastAsia="宋体" w:cs="宋体"/>
                <w:sz w:val="20"/>
                <w:szCs w:val="20"/>
              </w:rPr>
            </w:pPr>
            <w:r>
              <w:rPr>
                <w:rFonts w:ascii="宋体" w:hAnsi="宋体" w:eastAsia="宋体" w:cs="宋体"/>
                <w:spacing w:val="10"/>
                <w:sz w:val="20"/>
                <w:szCs w:val="20"/>
              </w:rPr>
              <w:t>4.建筑物地下一层以下</w:t>
            </w:r>
          </w:p>
        </w:tc>
        <w:tc>
          <w:tcPr>
            <w:tcW w:w="9099" w:type="dxa"/>
            <w:vMerge w:val="continue"/>
            <w:tcBorders>
              <w:top w:val="nil"/>
              <w:bottom w:val="nil"/>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9" w:hRule="atLeast"/>
        </w:trPr>
        <w:tc>
          <w:tcPr>
            <w:tcW w:w="554" w:type="dxa"/>
            <w:vMerge w:val="continue"/>
            <w:tcBorders>
              <w:top w:val="nil"/>
            </w:tcBorders>
            <w:vAlign w:val="top"/>
          </w:tcPr>
          <w:p>
            <w:pPr>
              <w:rPr>
                <w:rFonts w:ascii="Arial"/>
                <w:sz w:val="21"/>
              </w:rPr>
            </w:pPr>
          </w:p>
        </w:tc>
        <w:tc>
          <w:tcPr>
            <w:tcW w:w="1429" w:type="dxa"/>
            <w:vMerge w:val="continue"/>
            <w:tcBorders>
              <w:top w:val="nil"/>
            </w:tcBorders>
            <w:vAlign w:val="top"/>
          </w:tcPr>
          <w:p>
            <w:pPr>
              <w:rPr>
                <w:rFonts w:ascii="Arial"/>
                <w:sz w:val="21"/>
              </w:rPr>
            </w:pPr>
          </w:p>
        </w:tc>
        <w:tc>
          <w:tcPr>
            <w:tcW w:w="3118" w:type="dxa"/>
            <w:vAlign w:val="top"/>
          </w:tcPr>
          <w:p>
            <w:pPr>
              <w:spacing w:before="215" w:line="230" w:lineRule="auto"/>
              <w:ind w:left="82" w:right="268"/>
              <w:rPr>
                <w:rFonts w:ascii="宋体" w:hAnsi="宋体" w:eastAsia="宋体" w:cs="宋体"/>
                <w:sz w:val="20"/>
                <w:szCs w:val="20"/>
              </w:rPr>
            </w:pPr>
            <w:r>
              <w:rPr>
                <w:rFonts w:ascii="宋体" w:hAnsi="宋体" w:eastAsia="宋体" w:cs="宋体"/>
                <w:spacing w:val="11"/>
                <w:sz w:val="20"/>
                <w:szCs w:val="20"/>
              </w:rPr>
              <w:t>5.与危险化学品仓库毗连的区</w:t>
            </w:r>
            <w:r>
              <w:rPr>
                <w:rFonts w:ascii="宋体" w:hAnsi="宋体" w:eastAsia="宋体" w:cs="宋体"/>
                <w:spacing w:val="2"/>
                <w:sz w:val="20"/>
                <w:szCs w:val="20"/>
              </w:rPr>
              <w:t xml:space="preserve"> </w:t>
            </w:r>
            <w:r>
              <w:rPr>
                <w:rFonts w:ascii="宋体" w:hAnsi="宋体" w:eastAsia="宋体" w:cs="宋体"/>
                <w:sz w:val="20"/>
                <w:szCs w:val="20"/>
              </w:rPr>
              <w:t>域</w:t>
            </w:r>
          </w:p>
        </w:tc>
        <w:tc>
          <w:tcPr>
            <w:tcW w:w="9099" w:type="dxa"/>
            <w:vMerge w:val="continue"/>
            <w:tcBorders>
              <w:top w:val="nil"/>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43" w:hRule="atLeast"/>
        </w:trPr>
        <w:tc>
          <w:tcPr>
            <w:tcW w:w="554" w:type="dxa"/>
            <w:vAlign w:val="top"/>
          </w:tcPr>
          <w:p>
            <w:pPr>
              <w:spacing w:line="280" w:lineRule="auto"/>
              <w:rPr>
                <w:rFonts w:ascii="Arial"/>
                <w:sz w:val="21"/>
              </w:rPr>
            </w:pPr>
          </w:p>
          <w:p>
            <w:pPr>
              <w:spacing w:line="280" w:lineRule="auto"/>
              <w:rPr>
                <w:rFonts w:ascii="Arial"/>
                <w:sz w:val="21"/>
              </w:rPr>
            </w:pPr>
          </w:p>
          <w:p>
            <w:pPr>
              <w:spacing w:before="65" w:line="182" w:lineRule="auto"/>
              <w:ind w:left="215"/>
              <w:rPr>
                <w:rFonts w:ascii="宋体" w:hAnsi="宋体" w:eastAsia="宋体" w:cs="宋体"/>
                <w:sz w:val="20"/>
                <w:szCs w:val="20"/>
              </w:rPr>
            </w:pPr>
            <w:r>
              <w:rPr>
                <w:rFonts w:ascii="宋体" w:hAnsi="宋体" w:eastAsia="宋体" w:cs="宋体"/>
                <w:sz w:val="20"/>
                <w:szCs w:val="20"/>
              </w:rPr>
              <w:t>5</w:t>
            </w:r>
          </w:p>
        </w:tc>
        <w:tc>
          <w:tcPr>
            <w:tcW w:w="1429" w:type="dxa"/>
            <w:vAlign w:val="top"/>
          </w:tcPr>
          <w:p>
            <w:pPr>
              <w:spacing w:before="286" w:line="339" w:lineRule="exact"/>
              <w:ind w:left="90"/>
              <w:rPr>
                <w:rFonts w:ascii="宋体" w:hAnsi="宋体" w:eastAsia="宋体" w:cs="宋体"/>
                <w:sz w:val="20"/>
                <w:szCs w:val="20"/>
              </w:rPr>
            </w:pPr>
            <w:r>
              <w:rPr>
                <w:rFonts w:ascii="宋体" w:hAnsi="宋体" w:eastAsia="宋体" w:cs="宋体"/>
                <w:spacing w:val="4"/>
                <w:position w:val="10"/>
                <w:sz w:val="20"/>
                <w:szCs w:val="20"/>
              </w:rPr>
              <w:t>危险化学品</w:t>
            </w:r>
          </w:p>
          <w:p>
            <w:pPr>
              <w:spacing w:line="219" w:lineRule="auto"/>
              <w:ind w:left="90"/>
              <w:rPr>
                <w:rFonts w:ascii="宋体" w:hAnsi="宋体" w:eastAsia="宋体" w:cs="宋体"/>
                <w:sz w:val="20"/>
                <w:szCs w:val="20"/>
              </w:rPr>
            </w:pPr>
            <w:r>
              <w:rPr>
                <w:rFonts w:ascii="宋体" w:hAnsi="宋体" w:eastAsia="宋体" w:cs="宋体"/>
                <w:spacing w:val="2"/>
                <w:sz w:val="20"/>
                <w:szCs w:val="20"/>
              </w:rPr>
              <w:t>生产、经营</w:t>
            </w:r>
          </w:p>
          <w:p>
            <w:pPr>
              <w:spacing w:before="32" w:line="219" w:lineRule="auto"/>
              <w:ind w:left="90"/>
              <w:rPr>
                <w:rFonts w:ascii="宋体" w:hAnsi="宋体" w:eastAsia="宋体" w:cs="宋体"/>
                <w:sz w:val="20"/>
                <w:szCs w:val="20"/>
              </w:rPr>
            </w:pPr>
            <w:r>
              <w:rPr>
                <w:rFonts w:ascii="宋体" w:hAnsi="宋体" w:eastAsia="宋体" w:cs="宋体"/>
                <w:spacing w:val="-2"/>
                <w:sz w:val="20"/>
                <w:szCs w:val="20"/>
              </w:rPr>
              <w:t>储存</w:t>
            </w:r>
          </w:p>
        </w:tc>
        <w:tc>
          <w:tcPr>
            <w:tcW w:w="3118" w:type="dxa"/>
            <w:vAlign w:val="top"/>
          </w:tcPr>
          <w:p>
            <w:pPr>
              <w:spacing w:line="254" w:lineRule="auto"/>
              <w:rPr>
                <w:rFonts w:ascii="Arial"/>
                <w:sz w:val="21"/>
              </w:rPr>
            </w:pPr>
          </w:p>
          <w:p>
            <w:pPr>
              <w:spacing w:line="254" w:lineRule="auto"/>
              <w:rPr>
                <w:rFonts w:ascii="Arial"/>
                <w:sz w:val="21"/>
              </w:rPr>
            </w:pPr>
          </w:p>
          <w:p>
            <w:pPr>
              <w:spacing w:before="65" w:line="219" w:lineRule="auto"/>
              <w:ind w:left="82"/>
              <w:rPr>
                <w:rFonts w:ascii="宋体" w:hAnsi="宋体" w:eastAsia="宋体" w:cs="宋体"/>
                <w:sz w:val="20"/>
                <w:szCs w:val="20"/>
              </w:rPr>
            </w:pPr>
            <w:r>
              <w:rPr>
                <w:rFonts w:ascii="宋体" w:hAnsi="宋体" w:eastAsia="宋体" w:cs="宋体"/>
                <w:spacing w:val="10"/>
                <w:sz w:val="20"/>
                <w:szCs w:val="20"/>
              </w:rPr>
              <w:t>与居住场所在同一建筑物内</w:t>
            </w:r>
          </w:p>
        </w:tc>
        <w:tc>
          <w:tcPr>
            <w:tcW w:w="9099" w:type="dxa"/>
            <w:vAlign w:val="top"/>
          </w:tcPr>
          <w:p>
            <w:pPr>
              <w:spacing w:before="114" w:line="258" w:lineRule="auto"/>
              <w:ind w:left="113" w:right="75" w:hanging="20"/>
              <w:rPr>
                <w:rFonts w:ascii="宋体" w:hAnsi="宋体" w:eastAsia="宋体" w:cs="宋体"/>
                <w:sz w:val="20"/>
                <w:szCs w:val="20"/>
              </w:rPr>
            </w:pPr>
            <w:r>
              <w:rPr>
                <w:rFonts w:ascii="宋体" w:hAnsi="宋体" w:eastAsia="宋体" w:cs="宋体"/>
                <w:spacing w:val="12"/>
                <w:sz w:val="20"/>
                <w:szCs w:val="20"/>
              </w:rPr>
              <w:t>《中华人民共和国消防法》第十九条生产、储存、经营易燃易爆危险品的场所不得与居住场所设</w:t>
            </w:r>
            <w:r>
              <w:rPr>
                <w:rFonts w:ascii="宋体" w:hAnsi="宋体" w:eastAsia="宋体" w:cs="宋体"/>
                <w:spacing w:val="14"/>
                <w:sz w:val="20"/>
                <w:szCs w:val="20"/>
              </w:rPr>
              <w:t xml:space="preserve"> </w:t>
            </w:r>
            <w:r>
              <w:rPr>
                <w:rFonts w:ascii="宋体" w:hAnsi="宋体" w:eastAsia="宋体" w:cs="宋体"/>
                <w:spacing w:val="9"/>
                <w:sz w:val="20"/>
                <w:szCs w:val="20"/>
              </w:rPr>
              <w:t>置在同一建筑物内，并应当与居住场所保持安全距离。</w:t>
            </w:r>
          </w:p>
          <w:p>
            <w:pPr>
              <w:spacing w:before="83" w:line="257" w:lineRule="auto"/>
              <w:ind w:left="113" w:right="155"/>
              <w:rPr>
                <w:rFonts w:ascii="宋体" w:hAnsi="宋体" w:eastAsia="宋体" w:cs="宋体"/>
                <w:sz w:val="20"/>
                <w:szCs w:val="20"/>
              </w:rPr>
            </w:pPr>
            <w:r>
              <w:rPr>
                <w:rFonts w:ascii="宋体" w:hAnsi="宋体" w:eastAsia="宋体" w:cs="宋体"/>
                <w:spacing w:val="10"/>
                <w:sz w:val="20"/>
                <w:szCs w:val="20"/>
              </w:rPr>
              <w:t>生产、储存、经营其他物品的场所与居住场所设置在同一建筑物内的，应当符合国家工程建设</w:t>
            </w:r>
            <w:r>
              <w:rPr>
                <w:rFonts w:ascii="宋体" w:hAnsi="宋体" w:eastAsia="宋体" w:cs="宋体"/>
                <w:spacing w:val="9"/>
                <w:sz w:val="20"/>
                <w:szCs w:val="20"/>
              </w:rPr>
              <w:t>消</w:t>
            </w:r>
            <w:r>
              <w:rPr>
                <w:rFonts w:ascii="宋体" w:hAnsi="宋体" w:eastAsia="宋体" w:cs="宋体"/>
                <w:sz w:val="20"/>
                <w:szCs w:val="20"/>
              </w:rPr>
              <w:t xml:space="preserve"> </w:t>
            </w:r>
            <w:r>
              <w:rPr>
                <w:rFonts w:ascii="宋体" w:hAnsi="宋体" w:eastAsia="宋体" w:cs="宋体"/>
                <w:spacing w:val="16"/>
                <w:sz w:val="20"/>
                <w:szCs w:val="20"/>
              </w:rPr>
              <w:t>防技术标准。</w:t>
            </w:r>
          </w:p>
        </w:tc>
      </w:tr>
    </w:tbl>
    <w:p>
      <w:pPr>
        <w:rPr>
          <w:rFonts w:ascii="Arial"/>
          <w:sz w:val="21"/>
        </w:rPr>
      </w:pPr>
    </w:p>
    <w:p>
      <w:pPr>
        <w:sectPr>
          <w:footerReference r:id="rId8" w:type="default"/>
          <w:pgSz w:w="16980" w:h="12250"/>
          <w:pgMar w:top="400" w:right="1474" w:bottom="1343" w:left="1294" w:header="0" w:footer="1055" w:gutter="0"/>
          <w:cols w:space="720" w:num="1"/>
        </w:sectPr>
      </w:pPr>
    </w:p>
    <w:p/>
    <w:p/>
    <w:p/>
    <w:p/>
    <w:p/>
    <w:p/>
    <w:p>
      <w:pPr>
        <w:spacing w:line="36" w:lineRule="exact"/>
      </w:pPr>
    </w:p>
    <w:tbl>
      <w:tblPr>
        <w:tblStyle w:val="6"/>
        <w:tblW w:w="1423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74"/>
        <w:gridCol w:w="1439"/>
        <w:gridCol w:w="3128"/>
        <w:gridCol w:w="909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10" w:hRule="atLeast"/>
        </w:trPr>
        <w:tc>
          <w:tcPr>
            <w:tcW w:w="574" w:type="dxa"/>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68" w:line="183" w:lineRule="auto"/>
              <w:ind w:left="225"/>
              <w:rPr>
                <w:rFonts w:ascii="宋体" w:hAnsi="宋体" w:eastAsia="宋体" w:cs="宋体"/>
                <w:sz w:val="21"/>
                <w:szCs w:val="21"/>
              </w:rPr>
            </w:pPr>
            <w:r>
              <w:rPr>
                <w:rFonts w:ascii="宋体" w:hAnsi="宋体" w:eastAsia="宋体" w:cs="宋体"/>
                <w:sz w:val="21"/>
                <w:szCs w:val="21"/>
              </w:rPr>
              <w:t>6</w:t>
            </w:r>
          </w:p>
        </w:tc>
        <w:tc>
          <w:tcPr>
            <w:tcW w:w="1439" w:type="dxa"/>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68" w:line="220" w:lineRule="auto"/>
              <w:ind w:left="100"/>
              <w:rPr>
                <w:rFonts w:ascii="宋体" w:hAnsi="宋体" w:eastAsia="宋体" w:cs="宋体"/>
                <w:sz w:val="21"/>
                <w:szCs w:val="21"/>
              </w:rPr>
            </w:pPr>
            <w:r>
              <w:rPr>
                <w:rFonts w:ascii="宋体" w:hAnsi="宋体" w:eastAsia="宋体" w:cs="宋体"/>
                <w:spacing w:val="-2"/>
                <w:sz w:val="21"/>
                <w:szCs w:val="21"/>
              </w:rPr>
              <w:t>从事营利性</w:t>
            </w:r>
          </w:p>
          <w:p>
            <w:pPr>
              <w:spacing w:before="59" w:line="260" w:lineRule="auto"/>
              <w:ind w:left="100" w:right="59"/>
              <w:rPr>
                <w:rFonts w:ascii="宋体" w:hAnsi="宋体" w:eastAsia="宋体" w:cs="宋体"/>
                <w:sz w:val="21"/>
                <w:szCs w:val="21"/>
              </w:rPr>
            </w:pPr>
            <w:r>
              <w:rPr>
                <w:rFonts w:ascii="宋体" w:hAnsi="宋体" w:eastAsia="宋体" w:cs="宋体"/>
                <w:spacing w:val="-2"/>
                <w:sz w:val="21"/>
                <w:szCs w:val="21"/>
              </w:rPr>
              <w:t>文化艺术、体</w:t>
            </w:r>
            <w:r>
              <w:rPr>
                <w:rFonts w:ascii="宋体" w:hAnsi="宋体" w:eastAsia="宋体" w:cs="宋体"/>
                <w:spacing w:val="1"/>
                <w:sz w:val="21"/>
                <w:szCs w:val="21"/>
              </w:rPr>
              <w:t xml:space="preserve"> 育、科技等校 </w:t>
            </w:r>
            <w:r>
              <w:rPr>
                <w:rFonts w:ascii="宋体" w:hAnsi="宋体" w:eastAsia="宋体" w:cs="宋体"/>
                <w:spacing w:val="2"/>
                <w:sz w:val="21"/>
                <w:szCs w:val="21"/>
              </w:rPr>
              <w:t>外培训机构</w:t>
            </w:r>
          </w:p>
        </w:tc>
        <w:tc>
          <w:tcPr>
            <w:tcW w:w="3128" w:type="dxa"/>
            <w:vAlign w:val="top"/>
          </w:tcPr>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65" w:line="265" w:lineRule="auto"/>
              <w:ind w:left="111"/>
              <w:rPr>
                <w:rFonts w:ascii="宋体" w:hAnsi="宋体" w:eastAsia="宋体" w:cs="宋体"/>
                <w:sz w:val="20"/>
                <w:szCs w:val="20"/>
              </w:rPr>
            </w:pPr>
            <w:r>
              <w:rPr>
                <w:rFonts w:ascii="宋体" w:hAnsi="宋体" w:eastAsia="宋体" w:cs="宋体"/>
                <w:spacing w:val="14"/>
                <w:sz w:val="20"/>
                <w:szCs w:val="20"/>
              </w:rPr>
              <w:t>工业厂房、居民住宅、地下室、</w:t>
            </w:r>
            <w:r>
              <w:rPr>
                <w:rFonts w:ascii="宋体" w:hAnsi="宋体" w:eastAsia="宋体" w:cs="宋体"/>
                <w:spacing w:val="5"/>
                <w:sz w:val="20"/>
                <w:szCs w:val="20"/>
              </w:rPr>
              <w:t xml:space="preserve"> </w:t>
            </w:r>
            <w:r>
              <w:rPr>
                <w:rFonts w:ascii="宋体" w:hAnsi="宋体" w:eastAsia="宋体" w:cs="宋体"/>
                <w:spacing w:val="14"/>
                <w:sz w:val="20"/>
                <w:szCs w:val="20"/>
              </w:rPr>
              <w:t>半地下室、仓库、车库、夹层、</w:t>
            </w:r>
            <w:r>
              <w:rPr>
                <w:rFonts w:ascii="宋体" w:hAnsi="宋体" w:eastAsia="宋体" w:cs="宋体"/>
                <w:spacing w:val="5"/>
                <w:sz w:val="20"/>
                <w:szCs w:val="20"/>
              </w:rPr>
              <w:t xml:space="preserve"> </w:t>
            </w:r>
            <w:r>
              <w:rPr>
                <w:rFonts w:ascii="宋体" w:hAnsi="宋体" w:eastAsia="宋体" w:cs="宋体"/>
                <w:spacing w:val="8"/>
                <w:sz w:val="20"/>
                <w:szCs w:val="20"/>
              </w:rPr>
              <w:t>违章建筑及其他存在安全隐患</w:t>
            </w:r>
            <w:r>
              <w:rPr>
                <w:rFonts w:ascii="宋体" w:hAnsi="宋体" w:eastAsia="宋体" w:cs="宋体"/>
                <w:spacing w:val="2"/>
                <w:sz w:val="20"/>
                <w:szCs w:val="20"/>
              </w:rPr>
              <w:t xml:space="preserve">    </w:t>
            </w:r>
            <w:r>
              <w:rPr>
                <w:rFonts w:ascii="宋体" w:hAnsi="宋体" w:eastAsia="宋体" w:cs="宋体"/>
                <w:spacing w:val="9"/>
                <w:sz w:val="20"/>
                <w:szCs w:val="20"/>
              </w:rPr>
              <w:t>的场所</w:t>
            </w:r>
          </w:p>
        </w:tc>
        <w:tc>
          <w:tcPr>
            <w:tcW w:w="9098" w:type="dxa"/>
            <w:vAlign w:val="top"/>
          </w:tcPr>
          <w:p>
            <w:pPr>
              <w:spacing w:before="73" w:line="266" w:lineRule="auto"/>
              <w:ind w:left="122" w:right="110" w:hanging="104"/>
              <w:rPr>
                <w:rFonts w:ascii="宋体" w:hAnsi="宋体" w:eastAsia="宋体" w:cs="宋体"/>
                <w:sz w:val="21"/>
                <w:szCs w:val="21"/>
              </w:rPr>
            </w:pPr>
            <w:r>
              <w:rPr>
                <w:rFonts w:ascii="宋体" w:hAnsi="宋体" w:eastAsia="宋体" w:cs="宋体"/>
                <w:spacing w:val="5"/>
                <w:sz w:val="21"/>
                <w:szCs w:val="21"/>
              </w:rPr>
              <w:t>《河南省文化艺术类校外培训机构设置和管理指南(试行)》第八条文化艺术类校外培训机构应</w:t>
            </w:r>
            <w:r>
              <w:rPr>
                <w:rFonts w:ascii="宋体" w:hAnsi="宋体" w:eastAsia="宋体" w:cs="宋体"/>
                <w:spacing w:val="1"/>
                <w:sz w:val="21"/>
                <w:szCs w:val="21"/>
              </w:rPr>
              <w:t xml:space="preserve">  有与培训类别和规模相适应的稳定、独立使用的固</w:t>
            </w:r>
            <w:r>
              <w:rPr>
                <w:rFonts w:ascii="宋体" w:hAnsi="宋体" w:eastAsia="宋体" w:cs="宋体"/>
                <w:sz w:val="21"/>
                <w:szCs w:val="21"/>
              </w:rPr>
              <w:t>定场所(含办公用房、教学培训用房和其他必  备场地)、设施，应符合住建、消防、环保、卫生、食品经营等国家相</w:t>
            </w:r>
            <w:r>
              <w:rPr>
                <w:rFonts w:ascii="宋体" w:hAnsi="宋体" w:eastAsia="宋体" w:cs="宋体"/>
                <w:spacing w:val="-1"/>
                <w:sz w:val="21"/>
                <w:szCs w:val="21"/>
              </w:rPr>
              <w:t>关规定标准，符合《建筑</w:t>
            </w:r>
            <w:r>
              <w:rPr>
                <w:rFonts w:ascii="宋体" w:hAnsi="宋体" w:eastAsia="宋体" w:cs="宋体"/>
                <w:sz w:val="21"/>
                <w:szCs w:val="21"/>
              </w:rPr>
              <w:t xml:space="preserve">  </w:t>
            </w:r>
            <w:r>
              <w:rPr>
                <w:rFonts w:ascii="宋体" w:hAnsi="宋体" w:eastAsia="宋体" w:cs="宋体"/>
                <w:spacing w:val="1"/>
                <w:sz w:val="21"/>
                <w:szCs w:val="21"/>
              </w:rPr>
              <w:t>设计防火规范》《民用建筑工程室内环境污染控制规范》《校外培训机构消</w:t>
            </w:r>
            <w:r>
              <w:rPr>
                <w:rFonts w:ascii="宋体" w:hAnsi="宋体" w:eastAsia="宋体" w:cs="宋体"/>
                <w:sz w:val="21"/>
                <w:szCs w:val="21"/>
              </w:rPr>
              <w:t xml:space="preserve">防安全管理九项规定 </w:t>
            </w:r>
            <w:r>
              <w:rPr>
                <w:rFonts w:ascii="宋体" w:hAnsi="宋体" w:eastAsia="宋体" w:cs="宋体"/>
                <w:spacing w:val="5"/>
                <w:sz w:val="21"/>
                <w:szCs w:val="21"/>
              </w:rPr>
              <w:t xml:space="preserve">等，依法通过房屋安全鉴定、消防行政许可(备案),并取得相关书面证明材料。不得选用工业  </w:t>
            </w:r>
            <w:r>
              <w:rPr>
                <w:rFonts w:ascii="宋体" w:hAnsi="宋体" w:eastAsia="宋体" w:cs="宋体"/>
                <w:sz w:val="21"/>
                <w:szCs w:val="21"/>
              </w:rPr>
              <w:t>厂房、居民住宅、地下室、半地下室、仓库、车库、夹层、违章建筑及</w:t>
            </w:r>
            <w:r>
              <w:rPr>
                <w:rFonts w:ascii="宋体" w:hAnsi="宋体" w:eastAsia="宋体" w:cs="宋体"/>
                <w:spacing w:val="-1"/>
                <w:sz w:val="21"/>
                <w:szCs w:val="21"/>
              </w:rPr>
              <w:t>其他存在安全隐患的场所</w:t>
            </w:r>
            <w:r>
              <w:rPr>
                <w:rFonts w:ascii="宋体" w:hAnsi="宋体" w:eastAsia="宋体" w:cs="宋体"/>
                <w:sz w:val="21"/>
                <w:szCs w:val="21"/>
              </w:rPr>
              <w:t xml:space="preserve"> </w:t>
            </w:r>
            <w:r>
              <w:rPr>
                <w:rFonts w:ascii="宋体" w:hAnsi="宋体" w:eastAsia="宋体" w:cs="宋体"/>
                <w:spacing w:val="3"/>
                <w:sz w:val="21"/>
                <w:szCs w:val="21"/>
              </w:rPr>
              <w:t>不得使用易燃可燃夹芯彩钢板进行搭建、分割，并应符合以下要求：</w:t>
            </w:r>
          </w:p>
          <w:p>
            <w:pPr>
              <w:spacing w:before="60" w:line="248" w:lineRule="auto"/>
              <w:ind w:left="123" w:right="210" w:firstLine="100"/>
              <w:rPr>
                <w:rFonts w:ascii="宋体" w:hAnsi="宋体" w:eastAsia="宋体" w:cs="宋体"/>
                <w:sz w:val="21"/>
                <w:szCs w:val="21"/>
              </w:rPr>
            </w:pPr>
            <w:r>
              <w:rPr>
                <w:rFonts w:ascii="宋体" w:hAnsi="宋体" w:eastAsia="宋体" w:cs="宋体"/>
                <w:spacing w:val="1"/>
                <w:sz w:val="21"/>
                <w:szCs w:val="21"/>
              </w:rPr>
              <w:t>(一)以自有场所办学的，应提供办学场所的产权证明材料；以租用场所办学的，在提供房屋产</w:t>
            </w:r>
            <w:r>
              <w:rPr>
                <w:rFonts w:ascii="宋体" w:hAnsi="宋体" w:eastAsia="宋体" w:cs="宋体"/>
                <w:sz w:val="21"/>
                <w:szCs w:val="21"/>
              </w:rPr>
              <w:t xml:space="preserve"> </w:t>
            </w:r>
            <w:r>
              <w:rPr>
                <w:rFonts w:ascii="宋体" w:hAnsi="宋体" w:eastAsia="宋体" w:cs="宋体"/>
                <w:spacing w:val="9"/>
                <w:sz w:val="21"/>
                <w:szCs w:val="21"/>
              </w:rPr>
              <w:t>权材料外，还应提供具有法律效力的租赁合同(协议),租赁期限一般应不少于2年。</w:t>
            </w:r>
          </w:p>
          <w:p>
            <w:pPr>
              <w:spacing w:before="75" w:line="219" w:lineRule="auto"/>
              <w:ind w:left="123"/>
              <w:rPr>
                <w:rFonts w:ascii="宋体" w:hAnsi="宋体" w:eastAsia="宋体" w:cs="宋体"/>
                <w:sz w:val="21"/>
                <w:szCs w:val="21"/>
              </w:rPr>
            </w:pPr>
            <w:r>
              <w:rPr>
                <w:rFonts w:ascii="宋体" w:hAnsi="宋体" w:eastAsia="宋体" w:cs="宋体"/>
                <w:spacing w:val="5"/>
                <w:sz w:val="21"/>
                <w:szCs w:val="21"/>
              </w:rPr>
              <w:t>(二)文化艺术类校外培训机构教学场所楼层不得高于5层，培训对象含有14周岁以下学生的教</w:t>
            </w:r>
          </w:p>
          <w:p>
            <w:pPr>
              <w:spacing w:before="61" w:line="264" w:lineRule="auto"/>
              <w:ind w:left="123"/>
              <w:rPr>
                <w:rFonts w:ascii="宋体" w:hAnsi="宋体" w:eastAsia="宋体" w:cs="宋体"/>
                <w:sz w:val="20"/>
                <w:szCs w:val="20"/>
              </w:rPr>
            </w:pPr>
            <w:r>
              <w:rPr>
                <w:rFonts w:ascii="宋体" w:hAnsi="宋体" w:eastAsia="宋体" w:cs="宋体"/>
                <w:spacing w:val="10"/>
                <w:sz w:val="20"/>
                <w:szCs w:val="20"/>
              </w:rPr>
              <w:t>学场所楼层不得高于3层。办学场所面积应与办学内容和规模相</w:t>
            </w:r>
            <w:r>
              <w:rPr>
                <w:rFonts w:ascii="宋体" w:hAnsi="宋体" w:eastAsia="宋体" w:cs="宋体"/>
                <w:spacing w:val="9"/>
                <w:sz w:val="20"/>
                <w:szCs w:val="20"/>
              </w:rPr>
              <w:t>适应，能满足教学需要，教学用</w:t>
            </w:r>
            <w:r>
              <w:rPr>
                <w:rFonts w:ascii="宋体" w:hAnsi="宋体" w:eastAsia="宋体" w:cs="宋体"/>
                <w:sz w:val="20"/>
                <w:szCs w:val="20"/>
              </w:rPr>
              <w:t xml:space="preserve">   </w:t>
            </w:r>
            <w:r>
              <w:rPr>
                <w:rFonts w:ascii="宋体" w:hAnsi="宋体" w:eastAsia="宋体" w:cs="宋体"/>
                <w:spacing w:val="10"/>
                <w:sz w:val="20"/>
                <w:szCs w:val="20"/>
              </w:rPr>
              <w:t>房建筑面积应不少于办学场所建筑面积的2/3,且同一培训时段内生均面积不低于3平方米。其中，</w:t>
            </w:r>
            <w:r>
              <w:rPr>
                <w:rFonts w:ascii="宋体" w:hAnsi="宋体" w:eastAsia="宋体" w:cs="宋体"/>
                <w:spacing w:val="8"/>
                <w:sz w:val="20"/>
                <w:szCs w:val="20"/>
              </w:rPr>
              <w:t xml:space="preserve"> </w:t>
            </w:r>
            <w:r>
              <w:rPr>
                <w:rFonts w:ascii="宋体" w:hAnsi="宋体" w:eastAsia="宋体" w:cs="宋体"/>
                <w:spacing w:val="11"/>
                <w:sz w:val="20"/>
                <w:szCs w:val="20"/>
              </w:rPr>
              <w:t>舞蹈类、戏剧类同一培训时段内生均面积不低于6平方米，确保不拥挤、易疏散。</w:t>
            </w:r>
          </w:p>
          <w:p>
            <w:pPr>
              <w:spacing w:before="71" w:line="246" w:lineRule="auto"/>
              <w:ind w:left="123" w:right="193" w:firstLine="80"/>
              <w:rPr>
                <w:rFonts w:ascii="宋体" w:hAnsi="宋体" w:eastAsia="宋体" w:cs="宋体"/>
                <w:sz w:val="21"/>
                <w:szCs w:val="21"/>
              </w:rPr>
            </w:pPr>
            <w:r>
              <w:rPr>
                <w:rFonts w:ascii="宋体" w:hAnsi="宋体" w:eastAsia="宋体" w:cs="宋体"/>
                <w:spacing w:val="2"/>
                <w:sz w:val="21"/>
                <w:szCs w:val="21"/>
              </w:rPr>
              <w:t>(三)应具有与培训类别、培训层次、培训项目和培训规模相适应的设施设备和器材资</w:t>
            </w:r>
            <w:r>
              <w:rPr>
                <w:rFonts w:ascii="宋体" w:hAnsi="宋体" w:eastAsia="宋体" w:cs="宋体"/>
                <w:spacing w:val="1"/>
                <w:sz w:val="21"/>
                <w:szCs w:val="21"/>
              </w:rPr>
              <w:t>料等，实</w:t>
            </w:r>
            <w:r>
              <w:rPr>
                <w:rFonts w:ascii="宋体" w:hAnsi="宋体" w:eastAsia="宋体" w:cs="宋体"/>
                <w:sz w:val="21"/>
                <w:szCs w:val="21"/>
              </w:rPr>
              <w:t xml:space="preserve"> </w:t>
            </w:r>
            <w:r>
              <w:rPr>
                <w:rFonts w:ascii="宋体" w:hAnsi="宋体" w:eastAsia="宋体" w:cs="宋体"/>
                <w:spacing w:val="3"/>
                <w:sz w:val="21"/>
                <w:szCs w:val="21"/>
              </w:rPr>
              <w:t>训工位设置充足。采光和照明符合国家有关标准，落实好青少年近</w:t>
            </w:r>
            <w:r>
              <w:rPr>
                <w:rFonts w:ascii="宋体" w:hAnsi="宋体" w:eastAsia="宋体" w:cs="宋体"/>
                <w:spacing w:val="2"/>
                <w:sz w:val="21"/>
                <w:szCs w:val="21"/>
              </w:rPr>
              <w:t>视防控要求。其中：</w:t>
            </w:r>
          </w:p>
          <w:p>
            <w:pPr>
              <w:spacing w:before="71" w:line="223" w:lineRule="auto"/>
              <w:ind w:left="123" w:right="134"/>
              <w:rPr>
                <w:rFonts w:ascii="宋体" w:hAnsi="宋体" w:eastAsia="宋体" w:cs="宋体"/>
                <w:sz w:val="21"/>
                <w:szCs w:val="21"/>
              </w:rPr>
            </w:pPr>
            <w:r>
              <w:rPr>
                <w:rFonts w:ascii="宋体" w:hAnsi="宋体" w:eastAsia="宋体" w:cs="宋体"/>
                <w:spacing w:val="-4"/>
                <w:sz w:val="21"/>
                <w:szCs w:val="21"/>
              </w:rPr>
              <w:t>1.音乐和语言类培训教室应做好室内音效和隔音设计，</w:t>
            </w:r>
            <w:r>
              <w:rPr>
                <w:rFonts w:ascii="宋体" w:hAnsi="宋体" w:eastAsia="宋体" w:cs="宋体"/>
                <w:spacing w:val="75"/>
                <w:sz w:val="21"/>
                <w:szCs w:val="21"/>
              </w:rPr>
              <w:t xml:space="preserve"> </w:t>
            </w:r>
            <w:r>
              <w:rPr>
                <w:rFonts w:ascii="宋体" w:hAnsi="宋体" w:eastAsia="宋体" w:cs="宋体"/>
                <w:spacing w:val="-4"/>
                <w:sz w:val="21"/>
                <w:szCs w:val="21"/>
              </w:rPr>
              <w:t>一般应配备钢琴、多媒体等相应的教学设</w:t>
            </w:r>
            <w:r>
              <w:rPr>
                <w:rFonts w:ascii="宋体" w:hAnsi="宋体" w:eastAsia="宋体" w:cs="宋体"/>
                <w:sz w:val="21"/>
                <w:szCs w:val="21"/>
              </w:rPr>
              <w:t xml:space="preserve"> </w:t>
            </w:r>
            <w:r>
              <w:rPr>
                <w:rFonts w:ascii="宋体" w:hAnsi="宋体" w:eastAsia="宋体" w:cs="宋体"/>
                <w:spacing w:val="-4"/>
                <w:sz w:val="21"/>
                <w:szCs w:val="21"/>
              </w:rPr>
              <w:t>施</w:t>
            </w:r>
            <w:r>
              <w:rPr>
                <w:rFonts w:ascii="宋体" w:hAnsi="宋体" w:eastAsia="宋体" w:cs="宋体"/>
                <w:spacing w:val="37"/>
                <w:sz w:val="21"/>
                <w:szCs w:val="21"/>
              </w:rPr>
              <w:t xml:space="preserve"> </w:t>
            </w:r>
            <w:r>
              <w:rPr>
                <w:rFonts w:ascii="宋体" w:hAnsi="宋体" w:eastAsia="宋体" w:cs="宋体"/>
                <w:spacing w:val="-4"/>
                <w:sz w:val="21"/>
                <w:szCs w:val="21"/>
              </w:rPr>
              <w:t>。</w:t>
            </w:r>
          </w:p>
          <w:p>
            <w:pPr>
              <w:spacing w:before="100" w:line="252" w:lineRule="auto"/>
              <w:ind w:left="123" w:right="154"/>
              <w:rPr>
                <w:rFonts w:ascii="宋体" w:hAnsi="宋体" w:eastAsia="宋体" w:cs="宋体"/>
                <w:sz w:val="21"/>
                <w:szCs w:val="21"/>
              </w:rPr>
            </w:pPr>
            <w:r>
              <w:rPr>
                <w:rFonts w:ascii="宋体" w:hAnsi="宋体" w:eastAsia="宋体" w:cs="宋体"/>
                <w:spacing w:val="7"/>
                <w:sz w:val="21"/>
                <w:szCs w:val="21"/>
              </w:rPr>
              <w:t>2.舞蹈类、戏剧类培训教室层高应满足培训需求，地面应铺设专用地胶(或者专业地板),应配</w:t>
            </w:r>
            <w:r>
              <w:rPr>
                <w:rFonts w:ascii="宋体" w:hAnsi="宋体" w:eastAsia="宋体" w:cs="宋体"/>
                <w:spacing w:val="2"/>
                <w:sz w:val="21"/>
                <w:szCs w:val="21"/>
              </w:rPr>
              <w:t xml:space="preserve"> </w:t>
            </w:r>
            <w:r>
              <w:rPr>
                <w:rFonts w:ascii="宋体" w:hAnsi="宋体" w:eastAsia="宋体" w:cs="宋体"/>
                <w:spacing w:val="5"/>
                <w:sz w:val="21"/>
                <w:szCs w:val="21"/>
              </w:rPr>
              <w:t>备通长照身镜和可升降把杆等设施设备。</w:t>
            </w:r>
          </w:p>
          <w:p>
            <w:pPr>
              <w:spacing w:before="69" w:line="219" w:lineRule="auto"/>
              <w:ind w:left="123"/>
              <w:rPr>
                <w:rFonts w:ascii="宋体" w:hAnsi="宋体" w:eastAsia="宋体" w:cs="宋体"/>
                <w:sz w:val="21"/>
                <w:szCs w:val="21"/>
              </w:rPr>
            </w:pPr>
            <w:r>
              <w:rPr>
                <w:rFonts w:ascii="宋体" w:hAnsi="宋体" w:eastAsia="宋体" w:cs="宋体"/>
                <w:spacing w:val="3"/>
                <w:sz w:val="21"/>
                <w:szCs w:val="21"/>
              </w:rPr>
              <w:t>3.美术类培训教室应具有良好的北向天然采光或采用高显色性光源，避</w:t>
            </w:r>
            <w:r>
              <w:rPr>
                <w:rFonts w:ascii="宋体" w:hAnsi="宋体" w:eastAsia="宋体" w:cs="宋体"/>
                <w:spacing w:val="2"/>
                <w:sz w:val="21"/>
                <w:szCs w:val="21"/>
              </w:rPr>
              <w:t>免眩光。</w:t>
            </w:r>
          </w:p>
          <w:p>
            <w:pPr>
              <w:spacing w:before="72" w:line="251" w:lineRule="auto"/>
              <w:ind w:left="123" w:right="424"/>
              <w:rPr>
                <w:rFonts w:ascii="宋体" w:hAnsi="宋体" w:eastAsia="宋体" w:cs="宋体"/>
                <w:sz w:val="21"/>
                <w:szCs w:val="21"/>
              </w:rPr>
            </w:pPr>
            <w:r>
              <w:rPr>
                <w:rFonts w:ascii="宋体" w:hAnsi="宋体" w:eastAsia="宋体" w:cs="宋体"/>
                <w:spacing w:val="3"/>
                <w:sz w:val="21"/>
                <w:szCs w:val="21"/>
              </w:rPr>
              <w:t>(四)申请设置文化艺术类校外培训机构应建立“人防、物防、技防”三位一体安全防范体系</w:t>
            </w:r>
            <w:r>
              <w:rPr>
                <w:rFonts w:ascii="宋体" w:hAnsi="宋体" w:eastAsia="宋体" w:cs="宋体"/>
                <w:spacing w:val="15"/>
                <w:sz w:val="21"/>
                <w:szCs w:val="21"/>
              </w:rPr>
              <w:t xml:space="preserve"> </w:t>
            </w:r>
            <w:r>
              <w:rPr>
                <w:rFonts w:ascii="宋体" w:hAnsi="宋体" w:eastAsia="宋体" w:cs="宋体"/>
                <w:spacing w:val="10"/>
                <w:sz w:val="21"/>
                <w:szCs w:val="21"/>
              </w:rPr>
              <w:t>实现视频监控全覆盖。</w:t>
            </w:r>
          </w:p>
          <w:p>
            <w:pPr>
              <w:spacing w:before="40" w:line="219" w:lineRule="auto"/>
              <w:ind w:left="123"/>
              <w:rPr>
                <w:rFonts w:ascii="宋体" w:hAnsi="宋体" w:eastAsia="宋体" w:cs="宋体"/>
                <w:sz w:val="21"/>
                <w:szCs w:val="21"/>
              </w:rPr>
            </w:pPr>
            <w:r>
              <w:rPr>
                <w:rFonts w:ascii="宋体" w:hAnsi="宋体" w:eastAsia="宋体" w:cs="宋体"/>
                <w:spacing w:val="4"/>
                <w:sz w:val="21"/>
                <w:szCs w:val="21"/>
              </w:rPr>
              <w:t>1.应制定事故应急处置预案并定期开展应急处置演练。</w:t>
            </w:r>
          </w:p>
          <w:p>
            <w:pPr>
              <w:spacing w:before="59" w:line="250" w:lineRule="auto"/>
              <w:ind w:left="123" w:right="249"/>
              <w:rPr>
                <w:rFonts w:ascii="宋体" w:hAnsi="宋体" w:eastAsia="宋体" w:cs="宋体"/>
                <w:sz w:val="21"/>
                <w:szCs w:val="21"/>
              </w:rPr>
            </w:pPr>
            <w:r>
              <w:rPr>
                <w:rFonts w:ascii="宋体" w:hAnsi="宋体" w:eastAsia="宋体" w:cs="宋体"/>
                <w:spacing w:val="3"/>
                <w:sz w:val="21"/>
                <w:szCs w:val="21"/>
              </w:rPr>
              <w:t>2.应通过购买经营场所责任险、培训人员人</w:t>
            </w:r>
            <w:r>
              <w:rPr>
                <w:rFonts w:ascii="宋体" w:hAnsi="宋体" w:eastAsia="宋体" w:cs="宋体"/>
                <w:spacing w:val="2"/>
                <w:sz w:val="21"/>
                <w:szCs w:val="21"/>
              </w:rPr>
              <w:t>身意外险等必要方式，防范和化解安全事故风险。</w:t>
            </w:r>
            <w:r>
              <w:rPr>
                <w:rFonts w:ascii="宋体" w:hAnsi="宋体" w:eastAsia="宋体" w:cs="宋体"/>
                <w:sz w:val="21"/>
                <w:szCs w:val="21"/>
              </w:rPr>
              <w:t xml:space="preserve"> </w:t>
            </w:r>
            <w:r>
              <w:rPr>
                <w:rFonts w:ascii="宋体" w:hAnsi="宋体" w:eastAsia="宋体" w:cs="宋体"/>
                <w:spacing w:val="4"/>
                <w:sz w:val="21"/>
                <w:szCs w:val="21"/>
              </w:rPr>
              <w:t>3.不得招收寄宿学生，也不得提供或变相提供食宿服务。</w:t>
            </w:r>
          </w:p>
          <w:p>
            <w:pPr>
              <w:spacing w:before="73" w:line="190" w:lineRule="auto"/>
              <w:ind w:left="123"/>
              <w:rPr>
                <w:rFonts w:ascii="宋体" w:hAnsi="宋体" w:eastAsia="宋体" w:cs="宋体"/>
                <w:sz w:val="21"/>
                <w:szCs w:val="21"/>
              </w:rPr>
            </w:pPr>
            <w:r>
              <w:rPr>
                <w:rFonts w:ascii="宋体" w:hAnsi="宋体" w:eastAsia="宋体" w:cs="宋体"/>
                <w:spacing w:val="2"/>
                <w:sz w:val="21"/>
                <w:szCs w:val="21"/>
              </w:rPr>
              <w:t>4.应在公共场所安装视频监控设备，并且配备数据存储设施，视频信息保存时间不少于30天。</w:t>
            </w:r>
          </w:p>
        </w:tc>
      </w:tr>
    </w:tbl>
    <w:p>
      <w:pPr>
        <w:spacing w:line="284" w:lineRule="auto"/>
        <w:rPr>
          <w:rFonts w:ascii="Arial"/>
          <w:sz w:val="21"/>
        </w:rPr>
      </w:pPr>
    </w:p>
    <w:p>
      <w:pPr>
        <w:spacing w:line="284" w:lineRule="auto"/>
        <w:rPr>
          <w:rFonts w:ascii="Arial"/>
          <w:sz w:val="21"/>
        </w:rPr>
      </w:pPr>
    </w:p>
    <w:p>
      <w:pPr>
        <w:spacing w:line="284" w:lineRule="auto"/>
        <w:rPr>
          <w:rFonts w:ascii="Arial"/>
          <w:sz w:val="21"/>
        </w:rPr>
      </w:pPr>
    </w:p>
    <w:p>
      <w:pPr>
        <w:spacing w:before="94" w:line="183" w:lineRule="auto"/>
        <w:ind w:left="504"/>
        <w:rPr>
          <w:rFonts w:ascii="宋体" w:hAnsi="宋体" w:eastAsia="宋体" w:cs="宋体"/>
          <w:sz w:val="29"/>
          <w:szCs w:val="29"/>
        </w:rPr>
      </w:pPr>
      <w:r>
        <w:rPr>
          <w:rFonts w:ascii="宋体" w:hAnsi="宋体" w:eastAsia="宋体" w:cs="宋体"/>
          <w:spacing w:val="-3"/>
          <w:sz w:val="29"/>
          <w:szCs w:val="29"/>
        </w:rPr>
        <w:t>—4—</w:t>
      </w:r>
    </w:p>
    <w:p>
      <w:pPr>
        <w:sectPr>
          <w:footerReference r:id="rId9" w:type="default"/>
          <w:pgSz w:w="16950" w:h="12220"/>
          <w:pgMar w:top="400" w:right="1465" w:bottom="400" w:left="1235" w:header="0" w:footer="0" w:gutter="0"/>
          <w:cols w:space="720" w:num="1"/>
        </w:sectPr>
      </w:pPr>
    </w:p>
    <w:p/>
    <w:p/>
    <w:p/>
    <w:p/>
    <w:p/>
    <w:p>
      <w:pPr>
        <w:spacing w:line="107" w:lineRule="exact"/>
      </w:pPr>
    </w:p>
    <w:tbl>
      <w:tblPr>
        <w:tblStyle w:val="6"/>
        <w:tblW w:w="1419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4"/>
        <w:gridCol w:w="1399"/>
        <w:gridCol w:w="3168"/>
        <w:gridCol w:w="907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70" w:hRule="atLeast"/>
        </w:trPr>
        <w:tc>
          <w:tcPr>
            <w:tcW w:w="544" w:type="dxa"/>
            <w:vAlign w:val="top"/>
          </w:tcPr>
          <w:p>
            <w:pPr>
              <w:rPr>
                <w:rFonts w:ascii="Arial"/>
                <w:sz w:val="21"/>
              </w:rPr>
            </w:pPr>
          </w:p>
        </w:tc>
        <w:tc>
          <w:tcPr>
            <w:tcW w:w="1399" w:type="dxa"/>
            <w:vAlign w:val="top"/>
          </w:tcPr>
          <w:p>
            <w:pPr>
              <w:rPr>
                <w:rFonts w:ascii="Arial"/>
                <w:sz w:val="21"/>
              </w:rPr>
            </w:pPr>
          </w:p>
        </w:tc>
        <w:tc>
          <w:tcPr>
            <w:tcW w:w="3168" w:type="dxa"/>
            <w:vAlign w:val="top"/>
          </w:tcPr>
          <w:p>
            <w:pPr>
              <w:rPr>
                <w:rFonts w:ascii="Arial"/>
                <w:sz w:val="21"/>
              </w:rPr>
            </w:pPr>
          </w:p>
        </w:tc>
        <w:tc>
          <w:tcPr>
            <w:tcW w:w="9079" w:type="dxa"/>
            <w:vAlign w:val="top"/>
          </w:tcPr>
          <w:p>
            <w:pPr>
              <w:spacing w:line="342" w:lineRule="auto"/>
              <w:rPr>
                <w:rFonts w:ascii="Arial"/>
                <w:sz w:val="21"/>
              </w:rPr>
            </w:pPr>
          </w:p>
          <w:p>
            <w:pPr>
              <w:spacing w:before="68" w:line="268" w:lineRule="auto"/>
              <w:ind w:left="84" w:right="125" w:firstLine="34"/>
              <w:rPr>
                <w:rFonts w:ascii="宋体" w:hAnsi="宋体" w:eastAsia="宋体" w:cs="宋体"/>
                <w:sz w:val="21"/>
                <w:szCs w:val="21"/>
              </w:rPr>
            </w:pPr>
            <w:r>
              <w:rPr>
                <w:rFonts w:ascii="宋体" w:hAnsi="宋体" w:eastAsia="宋体" w:cs="宋体"/>
                <w:spacing w:val="5"/>
                <w:sz w:val="21"/>
                <w:szCs w:val="21"/>
              </w:rPr>
              <w:t>《河南省科技类校外培训机构设置标准和管理指南(试行)》第七条举办场所。培训机构举办场</w:t>
            </w:r>
            <w:r>
              <w:rPr>
                <w:rFonts w:ascii="宋体" w:hAnsi="宋体" w:eastAsia="宋体" w:cs="宋体"/>
                <w:spacing w:val="3"/>
                <w:sz w:val="21"/>
                <w:szCs w:val="21"/>
              </w:rPr>
              <w:t xml:space="preserve"> </w:t>
            </w:r>
            <w:r>
              <w:rPr>
                <w:rFonts w:ascii="宋体" w:hAnsi="宋体" w:eastAsia="宋体" w:cs="宋体"/>
                <w:sz w:val="21"/>
                <w:szCs w:val="21"/>
              </w:rPr>
              <w:t>所应有与培训类别和规模相适应的稳定、独立使用的固定场所(含办公用房、教学培训用房和其</w:t>
            </w:r>
            <w:r>
              <w:rPr>
                <w:rFonts w:ascii="宋体" w:hAnsi="宋体" w:eastAsia="宋体" w:cs="宋体"/>
                <w:spacing w:val="6"/>
                <w:sz w:val="21"/>
                <w:szCs w:val="21"/>
              </w:rPr>
              <w:t xml:space="preserve">  </w:t>
            </w:r>
            <w:r>
              <w:rPr>
                <w:rFonts w:ascii="宋体" w:hAnsi="宋体" w:eastAsia="宋体" w:cs="宋体"/>
                <w:sz w:val="21"/>
                <w:szCs w:val="21"/>
              </w:rPr>
              <w:t>他必备场地)、设施，必须符合消防、住建、环保、卫生、食品经营等法律法规及政策规定，符</w:t>
            </w:r>
            <w:r>
              <w:rPr>
                <w:rFonts w:ascii="宋体" w:hAnsi="宋体" w:eastAsia="宋体" w:cs="宋体"/>
                <w:spacing w:val="6"/>
                <w:sz w:val="21"/>
                <w:szCs w:val="21"/>
              </w:rPr>
              <w:t xml:space="preserve">  </w:t>
            </w:r>
            <w:r>
              <w:rPr>
                <w:rFonts w:ascii="宋体" w:hAnsi="宋体" w:eastAsia="宋体" w:cs="宋体"/>
                <w:sz w:val="21"/>
                <w:szCs w:val="21"/>
              </w:rPr>
              <w:t>合《建筑设计防火规范》《民用建筑工程室内环境污染控制规范》《校外</w:t>
            </w:r>
            <w:r>
              <w:rPr>
                <w:rFonts w:ascii="宋体" w:hAnsi="宋体" w:eastAsia="宋体" w:cs="宋体"/>
                <w:spacing w:val="-1"/>
                <w:sz w:val="21"/>
                <w:szCs w:val="21"/>
              </w:rPr>
              <w:t>培训机构消防安全管理</w:t>
            </w:r>
            <w:r>
              <w:rPr>
                <w:rFonts w:ascii="宋体" w:hAnsi="宋体" w:eastAsia="宋体" w:cs="宋体"/>
                <w:sz w:val="21"/>
                <w:szCs w:val="21"/>
              </w:rPr>
              <w:t xml:space="preserve"> </w:t>
            </w:r>
            <w:r>
              <w:rPr>
                <w:rFonts w:ascii="宋体" w:hAnsi="宋体" w:eastAsia="宋体" w:cs="宋体"/>
                <w:spacing w:val="5"/>
                <w:sz w:val="21"/>
                <w:szCs w:val="21"/>
              </w:rPr>
              <w:t>九项规定》等，依法通过房屋安全鉴定、消防行政许可(备案),并取得相关书面证明材料。不</w:t>
            </w:r>
            <w:r>
              <w:rPr>
                <w:rFonts w:ascii="宋体" w:hAnsi="宋体" w:eastAsia="宋体" w:cs="宋体"/>
                <w:spacing w:val="7"/>
                <w:sz w:val="21"/>
                <w:szCs w:val="21"/>
              </w:rPr>
              <w:t xml:space="preserve">  </w:t>
            </w:r>
            <w:r>
              <w:rPr>
                <w:rFonts w:ascii="宋体" w:hAnsi="宋体" w:eastAsia="宋体" w:cs="宋体"/>
                <w:sz w:val="21"/>
                <w:szCs w:val="21"/>
              </w:rPr>
              <w:t>得选用工业厂房、居民住宅、地下室、半地下室、仓库、车库、夹层、违</w:t>
            </w:r>
            <w:r>
              <w:rPr>
                <w:rFonts w:ascii="宋体" w:hAnsi="宋体" w:eastAsia="宋体" w:cs="宋体"/>
                <w:spacing w:val="-1"/>
                <w:sz w:val="21"/>
                <w:szCs w:val="21"/>
              </w:rPr>
              <w:t>章建筑及其他存在安全</w:t>
            </w:r>
            <w:r>
              <w:rPr>
                <w:rFonts w:ascii="宋体" w:hAnsi="宋体" w:eastAsia="宋体" w:cs="宋体"/>
                <w:sz w:val="21"/>
                <w:szCs w:val="21"/>
              </w:rPr>
              <w:t xml:space="preserve"> 隐患的场所，应当避开影响学生身心健康和可能危及学生人身安全的场所，不得使用易燃可燃夹</w:t>
            </w:r>
            <w:r>
              <w:rPr>
                <w:rFonts w:ascii="宋体" w:hAnsi="宋体" w:eastAsia="宋体" w:cs="宋体"/>
                <w:spacing w:val="9"/>
                <w:sz w:val="21"/>
                <w:szCs w:val="21"/>
              </w:rPr>
              <w:t xml:space="preserve"> </w:t>
            </w:r>
            <w:r>
              <w:rPr>
                <w:rFonts w:ascii="宋体" w:hAnsi="宋体" w:eastAsia="宋体" w:cs="宋体"/>
                <w:spacing w:val="5"/>
                <w:sz w:val="21"/>
                <w:szCs w:val="21"/>
              </w:rPr>
              <w:t>芯彩钢板进行搭建、分割，并应符合以下要求</w:t>
            </w:r>
            <w:r>
              <w:rPr>
                <w:rFonts w:ascii="宋体" w:hAnsi="宋体" w:eastAsia="宋体" w:cs="宋体"/>
                <w:spacing w:val="4"/>
                <w:sz w:val="21"/>
                <w:szCs w:val="21"/>
              </w:rPr>
              <w:t>：</w:t>
            </w:r>
          </w:p>
          <w:p>
            <w:pPr>
              <w:spacing w:before="72" w:line="243" w:lineRule="auto"/>
              <w:ind w:left="84" w:right="191" w:firstLine="139"/>
              <w:rPr>
                <w:rFonts w:ascii="宋体" w:hAnsi="宋体" w:eastAsia="宋体" w:cs="宋体"/>
                <w:sz w:val="21"/>
                <w:szCs w:val="21"/>
              </w:rPr>
            </w:pPr>
            <w:r>
              <w:rPr>
                <w:rFonts w:ascii="宋体" w:hAnsi="宋体" w:eastAsia="宋体" w:cs="宋体"/>
                <w:spacing w:val="1"/>
                <w:sz w:val="21"/>
                <w:szCs w:val="21"/>
              </w:rPr>
              <w:t>(一)以自有场所办学的，应提供办学场所的产权证明材料；以租用场所办学的，在提供房屋产</w:t>
            </w:r>
            <w:r>
              <w:rPr>
                <w:rFonts w:ascii="宋体" w:hAnsi="宋体" w:eastAsia="宋体" w:cs="宋体"/>
                <w:sz w:val="21"/>
                <w:szCs w:val="21"/>
              </w:rPr>
              <w:t xml:space="preserve"> </w:t>
            </w:r>
            <w:r>
              <w:rPr>
                <w:rFonts w:ascii="宋体" w:hAnsi="宋体" w:eastAsia="宋体" w:cs="宋体"/>
                <w:spacing w:val="10"/>
                <w:sz w:val="21"/>
                <w:szCs w:val="21"/>
              </w:rPr>
              <w:t>权材料外，还应提供具有法律效力的租赁合同(协议),租赁期限不少于2年。</w:t>
            </w:r>
          </w:p>
          <w:p>
            <w:pPr>
              <w:spacing w:before="67" w:line="219" w:lineRule="auto"/>
              <w:ind w:left="213"/>
              <w:rPr>
                <w:rFonts w:ascii="宋体" w:hAnsi="宋体" w:eastAsia="宋体" w:cs="宋体"/>
                <w:sz w:val="21"/>
                <w:szCs w:val="21"/>
              </w:rPr>
            </w:pPr>
            <w:r>
              <w:rPr>
                <w:rFonts w:ascii="宋体" w:hAnsi="宋体" w:eastAsia="宋体" w:cs="宋体"/>
                <w:spacing w:val="3"/>
                <w:sz w:val="21"/>
                <w:szCs w:val="21"/>
              </w:rPr>
              <w:t>(二)办学场所面积应与办学内容和规模相适应</w:t>
            </w:r>
            <w:r>
              <w:rPr>
                <w:rFonts w:ascii="宋体" w:hAnsi="宋体" w:eastAsia="宋体" w:cs="宋体"/>
                <w:color w:val="000530"/>
                <w:spacing w:val="3"/>
                <w:sz w:val="21"/>
                <w:szCs w:val="21"/>
              </w:rPr>
              <w:t>，</w:t>
            </w:r>
            <w:r>
              <w:rPr>
                <w:rFonts w:ascii="宋体" w:hAnsi="宋体" w:eastAsia="宋体" w:cs="宋体"/>
                <w:spacing w:val="3"/>
                <w:sz w:val="21"/>
                <w:szCs w:val="21"/>
              </w:rPr>
              <w:t>能够满足教学需要，所在楼层不得高于5层。</w:t>
            </w:r>
          </w:p>
          <w:p>
            <w:pPr>
              <w:spacing w:before="67" w:line="258" w:lineRule="auto"/>
              <w:ind w:left="84" w:firstLine="49"/>
              <w:rPr>
                <w:rFonts w:ascii="宋体" w:hAnsi="宋体" w:eastAsia="宋体" w:cs="宋体"/>
                <w:sz w:val="20"/>
                <w:szCs w:val="20"/>
              </w:rPr>
            </w:pPr>
            <w:r>
              <w:rPr>
                <w:rFonts w:ascii="宋体" w:hAnsi="宋体" w:eastAsia="宋体" w:cs="宋体"/>
                <w:spacing w:val="10"/>
                <w:sz w:val="20"/>
                <w:szCs w:val="20"/>
              </w:rPr>
              <w:t>教学用房建筑面积应不少于办学场所建筑面积的2/3,且</w:t>
            </w:r>
            <w:r>
              <w:rPr>
                <w:rFonts w:ascii="宋体" w:hAnsi="宋体" w:eastAsia="宋体" w:cs="宋体"/>
                <w:spacing w:val="9"/>
                <w:sz w:val="20"/>
                <w:szCs w:val="20"/>
              </w:rPr>
              <w:t>同一培训时段内生均面积不低于3平方米。</w:t>
            </w:r>
            <w:r>
              <w:rPr>
                <w:rFonts w:ascii="宋体" w:hAnsi="宋体" w:eastAsia="宋体" w:cs="宋体"/>
                <w:sz w:val="20"/>
                <w:szCs w:val="20"/>
              </w:rPr>
              <w:t xml:space="preserve"> </w:t>
            </w:r>
            <w:r>
              <w:rPr>
                <w:rFonts w:ascii="宋体" w:hAnsi="宋体" w:eastAsia="宋体" w:cs="宋体"/>
                <w:spacing w:val="9"/>
                <w:sz w:val="20"/>
                <w:szCs w:val="20"/>
              </w:rPr>
              <w:t>需要较多设备、器材的机器人、科学实验等课程，同一培训时段内生均面积</w:t>
            </w:r>
            <w:r>
              <w:rPr>
                <w:rFonts w:ascii="宋体" w:hAnsi="宋体" w:eastAsia="宋体" w:cs="宋体"/>
                <w:spacing w:val="8"/>
                <w:sz w:val="20"/>
                <w:szCs w:val="20"/>
              </w:rPr>
              <w:t>不低于5平方米。确</w:t>
            </w:r>
          </w:p>
          <w:p>
            <w:pPr>
              <w:spacing w:before="34" w:line="219" w:lineRule="auto"/>
              <w:ind w:left="84"/>
              <w:rPr>
                <w:rFonts w:ascii="宋体" w:hAnsi="宋体" w:eastAsia="宋体" w:cs="宋体"/>
                <w:sz w:val="21"/>
                <w:szCs w:val="21"/>
              </w:rPr>
            </w:pPr>
            <w:r>
              <w:rPr>
                <w:rFonts w:ascii="宋体" w:hAnsi="宋体" w:eastAsia="宋体" w:cs="宋体"/>
                <w:spacing w:val="11"/>
                <w:sz w:val="21"/>
                <w:szCs w:val="21"/>
              </w:rPr>
              <w:t>保不拥挤、易疏散。</w:t>
            </w:r>
          </w:p>
          <w:p>
            <w:pPr>
              <w:spacing w:before="91" w:line="259" w:lineRule="auto"/>
              <w:ind w:left="84" w:right="150" w:firstLine="119"/>
              <w:rPr>
                <w:rFonts w:ascii="宋体" w:hAnsi="宋体" w:eastAsia="宋体" w:cs="宋体"/>
                <w:sz w:val="21"/>
                <w:szCs w:val="21"/>
              </w:rPr>
            </w:pPr>
            <w:r>
              <w:rPr>
                <w:rFonts w:ascii="宋体" w:hAnsi="宋体" w:eastAsia="宋体" w:cs="宋体"/>
                <w:spacing w:val="1"/>
                <w:sz w:val="21"/>
                <w:szCs w:val="21"/>
              </w:rPr>
              <w:t>(三)应具有与培训类别、培训层次、培训项目和培训规模相适应的设施设备和器材资料等</w:t>
            </w:r>
            <w:r>
              <w:rPr>
                <w:rFonts w:ascii="宋体" w:hAnsi="宋体" w:eastAsia="宋体" w:cs="宋体"/>
                <w:sz w:val="21"/>
                <w:szCs w:val="21"/>
              </w:rPr>
              <w:t>，实 训工位设置充足。要按照采光和照明有关标准，落实好青少年近视防控要求。对于存在噪音危害</w:t>
            </w:r>
            <w:r>
              <w:rPr>
                <w:rFonts w:ascii="宋体" w:hAnsi="宋体" w:eastAsia="宋体" w:cs="宋体"/>
                <w:spacing w:val="12"/>
                <w:sz w:val="21"/>
                <w:szCs w:val="21"/>
              </w:rPr>
              <w:t xml:space="preserve"> </w:t>
            </w:r>
            <w:r>
              <w:rPr>
                <w:rFonts w:ascii="宋体" w:hAnsi="宋体" w:eastAsia="宋体" w:cs="宋体"/>
                <w:sz w:val="21"/>
                <w:szCs w:val="21"/>
              </w:rPr>
              <w:t>的设施设备，应采取有效的措施隔音降噪。科学实验类培训应安排在专用教室进行，其场地、设</w:t>
            </w:r>
            <w:r>
              <w:rPr>
                <w:rFonts w:ascii="宋体" w:hAnsi="宋体" w:eastAsia="宋体" w:cs="宋体"/>
                <w:spacing w:val="8"/>
                <w:sz w:val="21"/>
                <w:szCs w:val="21"/>
              </w:rPr>
              <w:t xml:space="preserve"> </w:t>
            </w:r>
            <w:r>
              <w:rPr>
                <w:rFonts w:ascii="宋体" w:hAnsi="宋体" w:eastAsia="宋体" w:cs="宋体"/>
                <w:spacing w:val="5"/>
                <w:sz w:val="21"/>
                <w:szCs w:val="21"/>
              </w:rPr>
              <w:t>备、安全等要求须与中小学校实验室要求一致。</w:t>
            </w:r>
          </w:p>
          <w:p>
            <w:pPr>
              <w:spacing w:before="79" w:line="219" w:lineRule="auto"/>
              <w:ind w:left="204"/>
              <w:rPr>
                <w:rFonts w:ascii="宋体" w:hAnsi="宋体" w:eastAsia="宋体" w:cs="宋体"/>
                <w:sz w:val="21"/>
                <w:szCs w:val="21"/>
              </w:rPr>
            </w:pPr>
            <w:r>
              <w:rPr>
                <w:rFonts w:ascii="宋体" w:hAnsi="宋体" w:eastAsia="宋体" w:cs="宋体"/>
                <w:spacing w:val="3"/>
                <w:sz w:val="21"/>
                <w:szCs w:val="21"/>
              </w:rPr>
              <w:t>(四)培训机构应建立“人防、物防、技防”三位一</w:t>
            </w:r>
            <w:r>
              <w:rPr>
                <w:rFonts w:ascii="宋体" w:hAnsi="宋体" w:eastAsia="宋体" w:cs="宋体"/>
                <w:spacing w:val="2"/>
                <w:sz w:val="21"/>
                <w:szCs w:val="21"/>
              </w:rPr>
              <w:t>体安全防范体系，实现视频监控全覆盖。</w:t>
            </w:r>
          </w:p>
          <w:p>
            <w:pPr>
              <w:spacing w:before="62" w:line="246" w:lineRule="auto"/>
              <w:ind w:left="84" w:right="147"/>
              <w:rPr>
                <w:rFonts w:ascii="宋体" w:hAnsi="宋体" w:eastAsia="宋体" w:cs="宋体"/>
                <w:sz w:val="21"/>
                <w:szCs w:val="21"/>
              </w:rPr>
            </w:pPr>
            <w:r>
              <w:rPr>
                <w:rFonts w:ascii="宋体" w:hAnsi="宋体" w:eastAsia="宋体" w:cs="宋体"/>
                <w:sz w:val="21"/>
                <w:szCs w:val="21"/>
              </w:rPr>
              <w:t>1.应当制定突发事件应急处置预案，并定期开展安全教育培训和应急处置演练，每年安全教育和</w:t>
            </w:r>
            <w:r>
              <w:rPr>
                <w:rFonts w:ascii="宋体" w:hAnsi="宋体" w:eastAsia="宋体" w:cs="宋体"/>
                <w:spacing w:val="16"/>
                <w:sz w:val="21"/>
                <w:szCs w:val="21"/>
              </w:rPr>
              <w:t xml:space="preserve"> </w:t>
            </w:r>
            <w:r>
              <w:rPr>
                <w:rFonts w:ascii="宋体" w:hAnsi="宋体" w:eastAsia="宋体" w:cs="宋体"/>
                <w:spacing w:val="7"/>
                <w:sz w:val="21"/>
                <w:szCs w:val="21"/>
              </w:rPr>
              <w:t>应急处置演练分别不少于1次。</w:t>
            </w:r>
          </w:p>
          <w:p>
            <w:pPr>
              <w:spacing w:before="60" w:line="250" w:lineRule="auto"/>
              <w:ind w:left="84" w:right="1319"/>
              <w:rPr>
                <w:rFonts w:ascii="宋体" w:hAnsi="宋体" w:eastAsia="宋体" w:cs="宋体"/>
                <w:sz w:val="21"/>
                <w:szCs w:val="21"/>
              </w:rPr>
            </w:pPr>
            <w:r>
              <w:rPr>
                <w:rFonts w:ascii="宋体" w:hAnsi="宋体" w:eastAsia="宋体" w:cs="宋体"/>
                <w:spacing w:val="3"/>
                <w:sz w:val="21"/>
                <w:szCs w:val="21"/>
              </w:rPr>
              <w:t>2.应当通过为参训对象购买人身安全保险等必要方式，防范和化解</w:t>
            </w:r>
            <w:r>
              <w:rPr>
                <w:rFonts w:ascii="宋体" w:hAnsi="宋体" w:eastAsia="宋体" w:cs="宋体"/>
                <w:spacing w:val="2"/>
                <w:sz w:val="21"/>
                <w:szCs w:val="21"/>
              </w:rPr>
              <w:t>安全事故风险。</w:t>
            </w:r>
            <w:r>
              <w:rPr>
                <w:rFonts w:ascii="宋体" w:hAnsi="宋体" w:eastAsia="宋体" w:cs="宋体"/>
                <w:sz w:val="21"/>
                <w:szCs w:val="21"/>
              </w:rPr>
              <w:t xml:space="preserve"> </w:t>
            </w:r>
            <w:r>
              <w:rPr>
                <w:rFonts w:ascii="宋体" w:hAnsi="宋体" w:eastAsia="宋体" w:cs="宋体"/>
                <w:spacing w:val="4"/>
                <w:sz w:val="21"/>
                <w:szCs w:val="21"/>
              </w:rPr>
              <w:t>3.不得招收寄宿学生，也不得提供或变相提供食宿服务。</w:t>
            </w:r>
          </w:p>
        </w:tc>
      </w:tr>
    </w:tbl>
    <w:p>
      <w:pPr>
        <w:rPr>
          <w:rFonts w:ascii="Arial"/>
          <w:sz w:val="21"/>
        </w:rPr>
      </w:pPr>
    </w:p>
    <w:p>
      <w:pPr>
        <w:sectPr>
          <w:footerReference r:id="rId10" w:type="default"/>
          <w:pgSz w:w="16780" w:h="11940"/>
          <w:pgMar w:top="400" w:right="1385" w:bottom="1081" w:left="1194" w:header="0" w:footer="795" w:gutter="0"/>
          <w:cols w:space="720" w:num="1"/>
        </w:sectPr>
      </w:pPr>
    </w:p>
    <w:p>
      <w:r>
        <w:drawing>
          <wp:anchor distT="0" distB="0" distL="0" distR="0" simplePos="0" relativeHeight="251659264" behindDoc="0" locked="0" layoutInCell="0" allowOverlap="1">
            <wp:simplePos x="0" y="0"/>
            <wp:positionH relativeFrom="page">
              <wp:posOffset>1155700</wp:posOffset>
            </wp:positionH>
            <wp:positionV relativeFrom="page">
              <wp:posOffset>6229350</wp:posOffset>
            </wp:positionV>
            <wp:extent cx="8083550" cy="12700"/>
            <wp:effectExtent l="0" t="0" r="0" b="0"/>
            <wp:wrapNone/>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r:embed="rId12"/>
                    <a:stretch>
                      <a:fillRect/>
                    </a:stretch>
                  </pic:blipFill>
                  <pic:spPr>
                    <a:xfrm>
                      <a:off x="0" y="0"/>
                      <a:ext cx="8083512" cy="12658"/>
                    </a:xfrm>
                    <a:prstGeom prst="rect">
                      <a:avLst/>
                    </a:prstGeom>
                  </pic:spPr>
                </pic:pic>
              </a:graphicData>
            </a:graphic>
          </wp:anchor>
        </w:drawing>
      </w:r>
    </w:p>
    <w:p/>
    <w:p/>
    <w:p/>
    <w:p/>
    <w:p>
      <w:pPr>
        <w:spacing w:line="207" w:lineRule="exact"/>
      </w:pPr>
    </w:p>
    <w:tbl>
      <w:tblPr>
        <w:tblStyle w:val="6"/>
        <w:tblW w:w="1423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4"/>
        <w:gridCol w:w="1419"/>
        <w:gridCol w:w="3148"/>
        <w:gridCol w:w="910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406" w:hRule="atLeast"/>
        </w:trPr>
        <w:tc>
          <w:tcPr>
            <w:tcW w:w="564" w:type="dxa"/>
            <w:vAlign w:val="top"/>
          </w:tcPr>
          <w:p>
            <w:pPr>
              <w:rPr>
                <w:rFonts w:ascii="Arial"/>
                <w:sz w:val="21"/>
              </w:rPr>
            </w:pPr>
          </w:p>
        </w:tc>
        <w:tc>
          <w:tcPr>
            <w:tcW w:w="1419" w:type="dxa"/>
            <w:vAlign w:val="top"/>
          </w:tcPr>
          <w:p>
            <w:pPr>
              <w:rPr>
                <w:rFonts w:ascii="Arial"/>
                <w:sz w:val="21"/>
              </w:rPr>
            </w:pPr>
          </w:p>
        </w:tc>
        <w:tc>
          <w:tcPr>
            <w:tcW w:w="3148" w:type="dxa"/>
            <w:vAlign w:val="top"/>
          </w:tcPr>
          <w:p>
            <w:pPr>
              <w:rPr>
                <w:rFonts w:ascii="Arial"/>
                <w:sz w:val="21"/>
              </w:rPr>
            </w:pPr>
          </w:p>
        </w:tc>
        <w:tc>
          <w:tcPr>
            <w:tcW w:w="9108" w:type="dxa"/>
            <w:vAlign w:val="top"/>
          </w:tcPr>
          <w:p>
            <w:pPr>
              <w:spacing w:before="82" w:line="312" w:lineRule="exact"/>
              <w:rPr>
                <w:rFonts w:ascii="宋体" w:hAnsi="宋体" w:eastAsia="宋体" w:cs="宋体"/>
                <w:sz w:val="20"/>
                <w:szCs w:val="20"/>
              </w:rPr>
            </w:pPr>
            <w:r>
              <w:rPr>
                <w:rFonts w:ascii="宋体" w:hAnsi="宋体" w:eastAsia="宋体" w:cs="宋体"/>
                <w:spacing w:val="18"/>
                <w:position w:val="7"/>
                <w:sz w:val="20"/>
                <w:szCs w:val="20"/>
              </w:rPr>
              <w:t>《河南省体育类校外培训机构设置标准和管理指南(试</w:t>
            </w:r>
            <w:r>
              <w:rPr>
                <w:rFonts w:ascii="宋体" w:hAnsi="宋体" w:eastAsia="宋体" w:cs="宋体"/>
                <w:spacing w:val="17"/>
                <w:position w:val="7"/>
                <w:sz w:val="20"/>
                <w:szCs w:val="20"/>
              </w:rPr>
              <w:t>行)》</w:t>
            </w:r>
          </w:p>
          <w:p>
            <w:pPr>
              <w:spacing w:line="229" w:lineRule="auto"/>
              <w:ind w:left="104"/>
              <w:rPr>
                <w:rFonts w:ascii="宋体" w:hAnsi="宋体" w:eastAsia="宋体" w:cs="宋体"/>
                <w:sz w:val="20"/>
                <w:szCs w:val="20"/>
              </w:rPr>
            </w:pPr>
            <w:r>
              <w:rPr>
                <w:rFonts w:ascii="宋体" w:hAnsi="宋体" w:eastAsia="宋体" w:cs="宋体"/>
                <w:spacing w:val="26"/>
                <w:sz w:val="20"/>
                <w:szCs w:val="20"/>
              </w:rPr>
              <w:t>四、场所设施(一)培训场所</w:t>
            </w:r>
          </w:p>
          <w:p>
            <w:pPr>
              <w:spacing w:before="59" w:line="219" w:lineRule="auto"/>
              <w:ind w:left="103"/>
              <w:rPr>
                <w:rFonts w:ascii="宋体" w:hAnsi="宋体" w:eastAsia="宋体" w:cs="宋体"/>
                <w:sz w:val="21"/>
                <w:szCs w:val="21"/>
              </w:rPr>
            </w:pPr>
            <w:r>
              <w:rPr>
                <w:rFonts w:ascii="宋体" w:hAnsi="宋体" w:eastAsia="宋体" w:cs="宋体"/>
                <w:spacing w:val="2"/>
                <w:sz w:val="21"/>
                <w:szCs w:val="21"/>
              </w:rPr>
              <w:t>培训机构应当具有与培训项目和培训规模相适应的培训场所及设施，并符合下列条件</w:t>
            </w:r>
          </w:p>
          <w:p>
            <w:pPr>
              <w:spacing w:before="61" w:line="246" w:lineRule="auto"/>
              <w:ind w:left="103" w:right="104"/>
              <w:rPr>
                <w:rFonts w:ascii="宋体" w:hAnsi="宋体" w:eastAsia="宋体" w:cs="宋体"/>
                <w:sz w:val="21"/>
                <w:szCs w:val="21"/>
              </w:rPr>
            </w:pPr>
            <w:r>
              <w:rPr>
                <w:rFonts w:ascii="宋体" w:hAnsi="宋体" w:eastAsia="宋体" w:cs="宋体"/>
                <w:spacing w:val="2"/>
                <w:sz w:val="21"/>
                <w:szCs w:val="21"/>
              </w:rPr>
              <w:t>1.必须有符合安全条件的固定且独立使用的场所，场所</w:t>
            </w:r>
            <w:r>
              <w:rPr>
                <w:rFonts w:ascii="宋体" w:hAnsi="宋体" w:eastAsia="宋体" w:cs="宋体"/>
                <w:spacing w:val="1"/>
                <w:sz w:val="21"/>
                <w:szCs w:val="21"/>
              </w:rPr>
              <w:t>的房屋(不动产)产权清晰。如系租赁，应</w:t>
            </w:r>
            <w:r>
              <w:rPr>
                <w:rFonts w:ascii="宋体" w:hAnsi="宋体" w:eastAsia="宋体" w:cs="宋体"/>
                <w:sz w:val="21"/>
                <w:szCs w:val="21"/>
              </w:rPr>
              <w:t xml:space="preserve"> </w:t>
            </w:r>
            <w:r>
              <w:rPr>
                <w:rFonts w:ascii="宋体" w:hAnsi="宋体" w:eastAsia="宋体" w:cs="宋体"/>
                <w:spacing w:val="11"/>
                <w:sz w:val="21"/>
                <w:szCs w:val="21"/>
              </w:rPr>
              <w:t>签署2年及以上的有效租赁协议(或合同)。</w:t>
            </w:r>
          </w:p>
          <w:p>
            <w:pPr>
              <w:spacing w:before="59" w:line="255" w:lineRule="auto"/>
              <w:ind w:left="103" w:right="104"/>
              <w:rPr>
                <w:rFonts w:ascii="宋体" w:hAnsi="宋体" w:eastAsia="宋体" w:cs="宋体"/>
                <w:sz w:val="21"/>
                <w:szCs w:val="21"/>
              </w:rPr>
            </w:pPr>
            <w:r>
              <w:rPr>
                <w:rFonts w:ascii="宋体" w:hAnsi="宋体" w:eastAsia="宋体" w:cs="宋体"/>
                <w:spacing w:val="2"/>
                <w:sz w:val="21"/>
                <w:szCs w:val="21"/>
              </w:rPr>
              <w:t>2.培训机构教学场所使用面积不少于办学场所总建筑面积的2/3。棋牌类体育项目每班次培训的</w:t>
            </w:r>
            <w:r>
              <w:rPr>
                <w:rFonts w:ascii="宋体" w:hAnsi="宋体" w:eastAsia="宋体" w:cs="宋体"/>
                <w:spacing w:val="12"/>
                <w:sz w:val="21"/>
                <w:szCs w:val="21"/>
              </w:rPr>
              <w:t xml:space="preserve"> </w:t>
            </w:r>
            <w:r>
              <w:rPr>
                <w:rFonts w:ascii="宋体" w:hAnsi="宋体" w:eastAsia="宋体" w:cs="宋体"/>
                <w:spacing w:val="4"/>
                <w:sz w:val="21"/>
                <w:szCs w:val="21"/>
              </w:rPr>
              <w:t>人均培训面积不小于3平方米，其他体育项目每班次培训的人均培训面积不小于5平方米(人均培</w:t>
            </w:r>
            <w:r>
              <w:rPr>
                <w:rFonts w:ascii="宋体" w:hAnsi="宋体" w:eastAsia="宋体" w:cs="宋体"/>
                <w:spacing w:val="1"/>
                <w:sz w:val="21"/>
                <w:szCs w:val="21"/>
              </w:rPr>
              <w:t xml:space="preserve"> 训面积=培训场所总面积/同一时间场上学员人数，其中培训场所总面积指用于培训的场地面积</w:t>
            </w:r>
          </w:p>
          <w:p>
            <w:pPr>
              <w:spacing w:before="71" w:line="251" w:lineRule="auto"/>
              <w:ind w:left="103" w:right="47" w:firstLine="10"/>
              <w:rPr>
                <w:rFonts w:ascii="宋体" w:hAnsi="宋体" w:eastAsia="宋体" w:cs="宋体"/>
                <w:sz w:val="21"/>
                <w:szCs w:val="21"/>
              </w:rPr>
            </w:pPr>
            <w:r>
              <w:rPr>
                <w:rFonts w:ascii="宋体" w:hAnsi="宋体" w:eastAsia="宋体" w:cs="宋体"/>
                <w:sz w:val="21"/>
                <w:szCs w:val="21"/>
              </w:rPr>
              <w:t>不包括配套服务场所面积)。培训场所应预留安全距离，确保不拥挤、易疏散，具备与所开展体育</w:t>
            </w:r>
            <w:r>
              <w:rPr>
                <w:rFonts w:ascii="宋体" w:hAnsi="宋体" w:eastAsia="宋体" w:cs="宋体"/>
                <w:spacing w:val="10"/>
                <w:sz w:val="21"/>
                <w:szCs w:val="21"/>
              </w:rPr>
              <w:t xml:space="preserve"> </w:t>
            </w:r>
            <w:r>
              <w:rPr>
                <w:rFonts w:ascii="宋体" w:hAnsi="宋体" w:eastAsia="宋体" w:cs="宋体"/>
                <w:spacing w:val="7"/>
                <w:sz w:val="21"/>
                <w:szCs w:val="21"/>
              </w:rPr>
              <w:t>培训运动项目相适应的场所空间。</w:t>
            </w:r>
          </w:p>
          <w:p>
            <w:pPr>
              <w:spacing w:before="59" w:line="187" w:lineRule="auto"/>
              <w:ind w:left="103"/>
              <w:rPr>
                <w:rFonts w:ascii="宋体" w:hAnsi="宋体" w:eastAsia="宋体" w:cs="宋体"/>
                <w:sz w:val="20"/>
                <w:szCs w:val="20"/>
              </w:rPr>
            </w:pPr>
            <w:r>
              <w:rPr>
                <w:rFonts w:ascii="宋体" w:hAnsi="宋体" w:eastAsia="宋体" w:cs="宋体"/>
                <w:spacing w:val="13"/>
                <w:sz w:val="20"/>
                <w:szCs w:val="20"/>
              </w:rPr>
              <w:t>3.不得使用居民住宅、地下室、半地下室及其他存在安全</w:t>
            </w:r>
            <w:r>
              <w:rPr>
                <w:rFonts w:ascii="宋体" w:hAnsi="宋体" w:eastAsia="宋体" w:cs="宋体"/>
                <w:spacing w:val="12"/>
                <w:sz w:val="20"/>
                <w:szCs w:val="20"/>
              </w:rPr>
              <w:t>隐患的场所；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4" w:hRule="atLeast"/>
        </w:trPr>
        <w:tc>
          <w:tcPr>
            <w:tcW w:w="564" w:type="dxa"/>
            <w:vAlign w:val="top"/>
          </w:tcPr>
          <w:p>
            <w:pPr>
              <w:spacing w:before="143" w:line="182" w:lineRule="auto"/>
              <w:ind w:left="214"/>
              <w:rPr>
                <w:rFonts w:ascii="宋体" w:hAnsi="宋体" w:eastAsia="宋体" w:cs="宋体"/>
                <w:sz w:val="21"/>
                <w:szCs w:val="21"/>
              </w:rPr>
            </w:pPr>
            <w:r>
              <w:rPr>
                <w:rFonts w:ascii="宋体" w:hAnsi="宋体" w:eastAsia="宋体" w:cs="宋体"/>
                <w:sz w:val="21"/>
                <w:szCs w:val="21"/>
              </w:rPr>
              <w:t>7</w:t>
            </w:r>
          </w:p>
        </w:tc>
        <w:tc>
          <w:tcPr>
            <w:tcW w:w="13675" w:type="dxa"/>
            <w:gridSpan w:val="3"/>
            <w:vAlign w:val="top"/>
          </w:tcPr>
          <w:p>
            <w:pPr>
              <w:spacing w:before="86" w:line="219" w:lineRule="auto"/>
              <w:ind w:left="90"/>
              <w:rPr>
                <w:rFonts w:ascii="宋体" w:hAnsi="宋体" w:eastAsia="宋体" w:cs="宋体"/>
                <w:sz w:val="21"/>
                <w:szCs w:val="21"/>
              </w:rPr>
            </w:pPr>
            <w:r>
              <w:rPr>
                <w:rFonts w:ascii="宋体" w:hAnsi="宋体" w:eastAsia="宋体" w:cs="宋体"/>
                <w:sz w:val="21"/>
                <w:szCs w:val="21"/>
              </w:rPr>
              <w:t>其他法律法规规章禁止作为市场主体住所(经</w:t>
            </w:r>
            <w:r>
              <w:rPr>
                <w:rFonts w:ascii="宋体" w:hAnsi="宋体" w:eastAsia="宋体" w:cs="宋体"/>
                <w:spacing w:val="-1"/>
                <w:sz w:val="21"/>
                <w:szCs w:val="21"/>
              </w:rPr>
              <w:t>营场所)登记的情形</w:t>
            </w:r>
          </w:p>
        </w:tc>
      </w:tr>
    </w:tbl>
    <w:p>
      <w:pPr>
        <w:spacing w:line="243" w:lineRule="auto"/>
        <w:rPr>
          <w:rFonts w:ascii="Arial"/>
          <w:sz w:val="21"/>
        </w:rPr>
      </w:pPr>
    </w:p>
    <w:p>
      <w:pPr>
        <w:spacing w:line="243" w:lineRule="auto"/>
        <w:rPr>
          <w:rFonts w:ascii="Arial"/>
          <w:sz w:val="21"/>
        </w:rPr>
      </w:pPr>
    </w:p>
    <w:p>
      <w:pPr>
        <w:pStyle w:val="2"/>
      </w:pPr>
    </w:p>
    <w:sectPr>
      <w:pgSz w:w="16838" w:h="11906" w:orient="landscape"/>
      <w:pgMar w:top="1800" w:right="1440" w:bottom="1800" w:left="144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7B0B274E-6530-4013-8D6A-918EF2AF03DC}"/>
  </w:font>
  <w:font w:name="黑体">
    <w:panose1 w:val="02010609060101010101"/>
    <w:charset w:val="86"/>
    <w:family w:val="auto"/>
    <w:pitch w:val="default"/>
    <w:sig w:usb0="800002BF" w:usb1="38CF7CFA" w:usb2="00000016" w:usb3="00000000" w:csb0="00040001" w:csb1="00000000"/>
    <w:embedRegular r:id="rId2" w:fontKey="{66B21AF7-14AC-4B23-AFB0-AD55DF6B2AD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86355C9D-0AAE-431F-AD7D-8303314DE0F1}"/>
  </w:font>
  <w:font w:name="仿宋">
    <w:panose1 w:val="02010609060101010101"/>
    <w:charset w:val="86"/>
    <w:family w:val="modern"/>
    <w:pitch w:val="default"/>
    <w:sig w:usb0="800002BF" w:usb1="38CF7CFA" w:usb2="00000016" w:usb3="00000000" w:csb0="00040001" w:csb1="00000000"/>
    <w:embedRegular r:id="rId4" w:fontKey="{A8C76381-B4D5-4555-A773-E81D5B78F6CF}"/>
  </w:font>
  <w:font w:name="方正小标宋_GBK">
    <w:panose1 w:val="02000000000000000000"/>
    <w:charset w:val="86"/>
    <w:family w:val="auto"/>
    <w:pitch w:val="default"/>
    <w:sig w:usb0="A00002BF" w:usb1="38CF7CFA" w:usb2="00082016" w:usb3="00000000" w:csb0="00040001" w:csb1="00000000"/>
    <w:embedRegular r:id="rId5" w:fontKey="{F43621E6-1D7C-4599-896E-AF05C05621DC}"/>
  </w:font>
  <w:font w:name="楷体">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83" w:lineRule="auto"/>
      <w:ind w:left="7760"/>
      <w:rPr>
        <w:rFonts w:ascii="宋体" w:hAnsi="宋体" w:eastAsia="宋体" w:cs="宋体"/>
        <w:sz w:val="27"/>
        <w:szCs w:val="27"/>
      </w:rPr>
    </w:pPr>
    <w:r>
      <w:rPr>
        <w:rFonts w:ascii="宋体" w:hAnsi="宋体" w:eastAsia="宋体" w:cs="宋体"/>
        <w:color w:val="874E48"/>
        <w:spacing w:val="-13"/>
        <w:sz w:val="27"/>
        <w:szCs w:val="27"/>
      </w:rPr>
      <w:t>—</w:t>
    </w:r>
    <w:r>
      <w:rPr>
        <w:rFonts w:ascii="宋体" w:hAnsi="宋体" w:eastAsia="宋体" w:cs="宋体"/>
        <w:color w:val="874E48"/>
        <w:spacing w:val="-105"/>
        <w:sz w:val="27"/>
        <w:szCs w:val="27"/>
      </w:rPr>
      <w:t xml:space="preserve"> </w:t>
    </w:r>
    <w:r>
      <w:rPr>
        <w:rFonts w:ascii="宋体" w:hAnsi="宋体" w:eastAsia="宋体" w:cs="宋体"/>
        <w:color w:val="874E48"/>
        <w:spacing w:val="-13"/>
        <w:sz w:val="27"/>
        <w:szCs w:val="27"/>
      </w:rPr>
      <w:t>1—</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3" w:lineRule="auto"/>
      <w:ind w:left="444"/>
      <w:rPr>
        <w:rFonts w:ascii="宋体" w:hAnsi="宋体" w:eastAsia="宋体" w:cs="宋体"/>
        <w:sz w:val="26"/>
        <w:szCs w:val="26"/>
      </w:rPr>
    </w:pPr>
    <w:r>
      <w:rPr>
        <w:rFonts w:ascii="宋体" w:hAnsi="宋体" w:eastAsia="宋体" w:cs="宋体"/>
        <w:spacing w:val="-3"/>
        <w:sz w:val="26"/>
        <w:szCs w:val="26"/>
      </w:rPr>
      <w:t>—2—</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3" w:lineRule="auto"/>
      <w:ind w:right="658"/>
      <w:jc w:val="right"/>
      <w:rPr>
        <w:rFonts w:ascii="宋体" w:hAnsi="宋体" w:eastAsia="宋体" w:cs="宋体"/>
        <w:sz w:val="29"/>
        <w:szCs w:val="29"/>
      </w:rPr>
    </w:pPr>
    <w:r>
      <w:rPr>
        <w:rFonts w:ascii="宋体" w:hAnsi="宋体" w:eastAsia="宋体" w:cs="宋体"/>
        <w:spacing w:val="-3"/>
        <w:sz w:val="29"/>
        <w:szCs w:val="29"/>
      </w:rPr>
      <w:t>—3—</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81" w:lineRule="auto"/>
      <w:ind w:right="678"/>
      <w:jc w:val="right"/>
      <w:rPr>
        <w:rFonts w:ascii="宋体" w:hAnsi="宋体" w:eastAsia="宋体" w:cs="宋体"/>
        <w:sz w:val="29"/>
        <w:szCs w:val="29"/>
      </w:rPr>
    </w:pPr>
    <w:r>
      <w:rPr>
        <w:rFonts w:ascii="宋体" w:hAnsi="宋体" w:eastAsia="宋体" w:cs="宋体"/>
        <w:spacing w:val="-3"/>
        <w:sz w:val="29"/>
        <w:szCs w:val="29"/>
      </w:rPr>
      <w:t>—5—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FkOGE4YWI3NmY0ZDM5N2YwZDBiYzYyYWE3MzNlMDcifQ=="/>
  </w:docVars>
  <w:rsids>
    <w:rsidRoot w:val="00000000"/>
    <w:rsid w:val="358C4461"/>
    <w:rsid w:val="45AE449B"/>
    <w:rsid w:val="4BA261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ind w:firstLine="640" w:firstLineChars="200"/>
      <w:jc w:val="both"/>
    </w:pPr>
    <w:rPr>
      <w:rFonts w:ascii="Calibri" w:hAnsi="Calibri" w:eastAsia="仿宋" w:cs="Times New Roman"/>
      <w:kern w:val="2"/>
      <w:sz w:val="32"/>
      <w:szCs w:val="21"/>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2">
    <w:name w:val="样式1"/>
    <w:basedOn w:val="1"/>
    <w:qFormat/>
    <w:uiPriority w:val="0"/>
    <w:pPr>
      <w:ind w:firstLine="602" w:firstLineChars="200"/>
      <w:jc w:val="left"/>
    </w:pPr>
    <w:rPr>
      <w:rFonts w:ascii="仿宋" w:hAnsi="仿宋" w:eastAsia="仿宋"/>
      <w:color w:val="000000"/>
      <w:kern w:val="0"/>
      <w:sz w:val="30"/>
      <w:szCs w:val="30"/>
      <w:lang w:eastAsia="en-US" w:bidi="en-US"/>
    </w:rPr>
  </w:style>
  <w:style w:type="paragraph" w:customStyle="1" w:styleId="5">
    <w:name w:val="成文日期"/>
    <w:qFormat/>
    <w:uiPriority w:val="0"/>
    <w:pPr>
      <w:ind w:right="1600" w:rightChars="500"/>
      <w:jc w:val="right"/>
    </w:pPr>
    <w:rPr>
      <w:rFonts w:ascii="Calibri" w:hAnsi="Calibri" w:eastAsia="仿宋" w:cs="Times New Roman"/>
      <w:kern w:val="2"/>
      <w:sz w:val="32"/>
      <w:szCs w:val="21"/>
      <w:lang w:val="en-US" w:eastAsia="zh-CN"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image" Target="media/image1.jpeg"/><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4045</Words>
  <Characters>4122</Characters>
  <Lines>0</Lines>
  <Paragraphs>0</Paragraphs>
  <TotalTime>1</TotalTime>
  <ScaleCrop>false</ScaleCrop>
  <LinksUpToDate>false</LinksUpToDate>
  <CharactersWithSpaces>4235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2023-07-25T07:16:00Z</dcterms:created>
  <dc:creator>Administrator</dc:creator>
  <cp:lastModifiedBy>风飞扬</cp:lastModifiedBy>
  <dcterms:modified xsi:type="dcterms:W3CDTF">2023-07-25T07:57:18Z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0B6E66669AFD4F4485F49823F843BFDF_12</vt:lpwstr>
  </property>
</Properties>
</file>