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 w:eastAsia="仿宋" w:cs="仿宋"/>
          <w:sz w:val="36"/>
          <w:szCs w:val="44"/>
          <w:lang w:val="en-US" w:eastAsia="zh-CN"/>
        </w:rPr>
      </w:pPr>
    </w:p>
    <w:p>
      <w:pPr>
        <w:widowControl/>
        <w:spacing w:line="500" w:lineRule="exact"/>
        <w:jc w:val="center"/>
        <w:rPr>
          <w:rFonts w:hint="eastAsia" w:ascii="方正小标宋_GBK" w:eastAsia="方正小标宋_GBK" w:cs="宋体"/>
          <w:color w:val="000000"/>
          <w:kern w:val="0"/>
          <w:sz w:val="44"/>
          <w:szCs w:val="44"/>
          <w:lang w:val="en-US" w:eastAsia="zh-CN"/>
        </w:rPr>
      </w:pPr>
      <w:r>
        <w:rPr>
          <w:rFonts w:hint="eastAsia" w:ascii="方正小标宋_GBK" w:eastAsia="方正小标宋_GBK" w:cs="宋体"/>
          <w:color w:val="000000"/>
          <w:kern w:val="0"/>
          <w:sz w:val="44"/>
          <w:szCs w:val="44"/>
          <w:lang w:val="en-US" w:eastAsia="zh-CN"/>
        </w:rPr>
        <w:t>洛阳市孟津区市场监督管理局</w:t>
      </w:r>
    </w:p>
    <w:p>
      <w:pPr>
        <w:spacing w:line="560" w:lineRule="exact"/>
        <w:jc w:val="center"/>
        <w:rPr>
          <w:rFonts w:hint="eastAsia" w:ascii="方正小标宋_GBK" w:eastAsia="方正小标宋_GBK" w:cs="宋体"/>
          <w:color w:val="000000"/>
          <w:kern w:val="0"/>
          <w:sz w:val="44"/>
          <w:szCs w:val="44"/>
          <w:lang w:val="en-US" w:eastAsia="zh-CN"/>
        </w:rPr>
      </w:pPr>
      <w:r>
        <w:rPr>
          <w:rFonts w:hint="eastAsia" w:ascii="方正小标宋_GBK" w:eastAsia="方正小标宋_GBK" w:cs="宋体"/>
          <w:color w:val="000000"/>
          <w:kern w:val="0"/>
          <w:sz w:val="44"/>
          <w:szCs w:val="44"/>
          <w:lang w:val="en-US" w:eastAsia="zh-CN"/>
        </w:rPr>
        <w:t>关于</w:t>
      </w:r>
      <w:r>
        <w:rPr>
          <w:rFonts w:ascii="方正小标宋_GBK" w:eastAsia="方正小标宋_GBK" w:cs="宋体"/>
          <w:color w:val="000000"/>
          <w:kern w:val="0"/>
          <w:sz w:val="44"/>
          <w:szCs w:val="44"/>
          <w:lang w:val="en-US" w:eastAsia="zh-CN"/>
        </w:rPr>
        <w:t>转发</w:t>
      </w:r>
      <w:r>
        <w:rPr>
          <w:rFonts w:hint="eastAsia" w:ascii="方正小标宋_GBK" w:eastAsia="方正小标宋_GBK" w:cs="宋体"/>
          <w:color w:val="000000"/>
          <w:kern w:val="0"/>
          <w:sz w:val="44"/>
          <w:szCs w:val="44"/>
          <w:lang w:val="en-US" w:eastAsia="zh-CN"/>
        </w:rPr>
        <w:t>《洛阳市</w:t>
      </w:r>
      <w:r>
        <w:rPr>
          <w:rFonts w:ascii="方正小标宋_GBK" w:eastAsia="方正小标宋_GBK" w:cs="宋体"/>
          <w:color w:val="000000"/>
          <w:kern w:val="0"/>
          <w:sz w:val="44"/>
          <w:szCs w:val="44"/>
          <w:lang w:val="en-US" w:eastAsia="zh-CN"/>
        </w:rPr>
        <w:t>市场监督管理局关于印发</w:t>
      </w:r>
      <w:r>
        <w:rPr>
          <w:rFonts w:hint="eastAsia" w:ascii="方正小标宋_GBK" w:eastAsia="方正小标宋_GBK" w:cs="宋体"/>
          <w:color w:val="000000"/>
          <w:kern w:val="0"/>
          <w:sz w:val="44"/>
          <w:szCs w:val="44"/>
          <w:lang w:val="en-US" w:eastAsia="zh-CN"/>
        </w:rPr>
        <w:t>激发市场活力深化推行市场准入准营退出便利化二十一条举措的通知》的通知</w:t>
      </w:r>
    </w:p>
    <w:p>
      <w:pPr>
        <w:jc w:val="center"/>
        <w:rPr>
          <w:rFonts w:hint="eastAsia"/>
          <w:lang w:val="en-US" w:eastAsia="zh-CN"/>
        </w:rPr>
      </w:pPr>
      <w:r>
        <w:rPr>
          <w:rFonts w:ascii="仿宋" w:eastAsia="仿宋" w:cs="仿宋"/>
          <w:sz w:val="32"/>
          <w:szCs w:val="32"/>
          <w:lang w:val="en-US" w:eastAsia="zh-CN"/>
        </w:rPr>
        <w:t>洛</w:t>
      </w:r>
      <w:r>
        <w:rPr>
          <w:rFonts w:hint="eastAsia" w:ascii="仿宋" w:eastAsia="仿宋" w:cs="仿宋"/>
          <w:sz w:val="32"/>
          <w:szCs w:val="32"/>
          <w:lang w:val="en-US" w:eastAsia="zh-CN"/>
        </w:rPr>
        <w:t>孟市监〔2023〕13号</w:t>
      </w:r>
    </w:p>
    <w:p>
      <w:pPr>
        <w:pStyle w:val="3"/>
        <w:spacing w:line="360" w:lineRule="auto"/>
        <w:jc w:val="both"/>
        <w:rPr>
          <w:rFonts w:hint="eastAsia" w:ascii="仿宋" w:eastAsia="仿宋"/>
          <w:sz w:val="32"/>
          <w:szCs w:val="32"/>
        </w:rPr>
      </w:pPr>
      <w:r>
        <w:rPr>
          <w:rFonts w:hint="eastAsia" w:ascii="仿宋" w:eastAsia="仿宋"/>
          <w:sz w:val="32"/>
          <w:szCs w:val="32"/>
          <w:lang w:val="en-US" w:eastAsia="zh-CN"/>
        </w:rPr>
        <w:t>各市场监管所，综合执法大队，局机关各股室</w:t>
      </w:r>
      <w:r>
        <w:rPr>
          <w:rFonts w:hint="eastAsia" w:ascii="仿宋" w:eastAsia="仿宋"/>
          <w:sz w:val="32"/>
          <w:szCs w:val="32"/>
        </w:rPr>
        <w:t>：</w:t>
      </w:r>
    </w:p>
    <w:p>
      <w:pPr>
        <w:pStyle w:val="3"/>
        <w:spacing w:line="360" w:lineRule="auto"/>
        <w:ind w:firstLine="640" w:firstLineChars="200"/>
        <w:jc w:val="both"/>
        <w:rPr>
          <w:rFonts w:hint="eastAsia" w:ascii="仿宋" w:eastAsia="仿宋" w:cs="仿宋"/>
          <w:b w:val="0"/>
          <w:bCs w:val="0"/>
          <w:sz w:val="32"/>
          <w:szCs w:val="32"/>
          <w:lang w:val="en-US" w:eastAsia="zh-CN"/>
        </w:rPr>
      </w:pPr>
      <w:r>
        <w:rPr>
          <w:rFonts w:hint="eastAsia" w:ascii="仿宋" w:eastAsia="仿宋" w:cs="仿宋"/>
          <w:b w:val="0"/>
          <w:bCs w:val="0"/>
          <w:sz w:val="32"/>
          <w:szCs w:val="32"/>
          <w:lang w:val="en-US" w:eastAsia="zh-CN"/>
        </w:rPr>
        <w:t>现将</w:t>
      </w:r>
      <w:r>
        <w:rPr>
          <w:rFonts w:hint="eastAsia" w:ascii="仿宋" w:eastAsia="仿宋"/>
          <w:sz w:val="32"/>
          <w:szCs w:val="32"/>
          <w:lang w:val="en-US" w:eastAsia="zh-CN"/>
        </w:rPr>
        <w:t>《洛阳市市场监督管理局关于印发激发市场活力深化推行市场准入准营退出便利化二十一条举措的通知》转</w:t>
      </w:r>
      <w:r>
        <w:rPr>
          <w:rFonts w:hint="eastAsia" w:ascii="仿宋" w:eastAsia="仿宋" w:cs="仿宋"/>
          <w:b w:val="0"/>
          <w:bCs w:val="0"/>
          <w:sz w:val="32"/>
          <w:szCs w:val="32"/>
          <w:lang w:val="en-US" w:eastAsia="zh-CN"/>
        </w:rPr>
        <w:t xml:space="preserve">发给你们，请认真贯彻落实。                              </w:t>
      </w:r>
    </w:p>
    <w:p>
      <w:pPr>
        <w:jc w:val="both"/>
        <w:rPr>
          <w:rFonts w:hint="eastAsia" w:ascii="仿宋" w:eastAsia="仿宋" w:cs="仿宋"/>
          <w:b w:val="0"/>
          <w:bCs w:val="0"/>
          <w:sz w:val="32"/>
          <w:szCs w:val="32"/>
          <w:lang w:val="en-US" w:eastAsia="zh-CN"/>
        </w:rPr>
      </w:pPr>
    </w:p>
    <w:p>
      <w:pPr>
        <w:jc w:val="right"/>
        <w:rPr>
          <w:rFonts w:ascii="仿宋" w:eastAsia="仿宋" w:cs="仿宋"/>
          <w:b w:val="0"/>
          <w:bCs w:val="0"/>
          <w:sz w:val="32"/>
          <w:szCs w:val="32"/>
          <w:lang w:val="en-US" w:eastAsia="zh-CN"/>
        </w:rPr>
      </w:pPr>
      <w:r>
        <w:rPr>
          <w:rFonts w:hint="eastAsia" w:ascii="仿宋" w:eastAsia="仿宋" w:cs="仿宋"/>
          <w:b w:val="0"/>
          <w:bCs w:val="0"/>
          <w:sz w:val="32"/>
          <w:szCs w:val="32"/>
          <w:lang w:val="en-US" w:eastAsia="zh-CN"/>
        </w:rPr>
        <w:t xml:space="preserve">  2023年4月10日</w:t>
      </w:r>
    </w:p>
    <w:p>
      <w:pPr>
        <w:pStyle w:val="2"/>
        <w:jc w:val="left"/>
      </w:pPr>
    </w:p>
    <w:p>
      <w:pPr>
        <w:sectPr>
          <w:pgSz w:w="11906" w:h="16838"/>
          <w:pgMar w:top="1440" w:right="1800" w:bottom="1440" w:left="1800" w:header="851" w:footer="992" w:gutter="0"/>
          <w:cols w:space="425" w:num="1"/>
          <w:docGrid w:type="lines" w:linePitch="312" w:charSpace="0"/>
        </w:sectPr>
      </w:pPr>
    </w:p>
    <w:p>
      <w:pPr>
        <w:widowControl/>
        <w:spacing w:line="500" w:lineRule="exact"/>
        <w:jc w:val="center"/>
        <w:rPr>
          <w:rFonts w:hint="eastAsia" w:ascii="方正小标宋_GBK" w:eastAsia="方正小标宋_GBK" w:cs="宋体"/>
          <w:color w:val="000000"/>
          <w:kern w:val="0"/>
          <w:sz w:val="44"/>
          <w:szCs w:val="44"/>
          <w:lang w:val="en-US" w:eastAsia="zh-CN"/>
        </w:rPr>
      </w:pPr>
      <w:r>
        <w:rPr>
          <w:rFonts w:hint="eastAsia" w:ascii="方正小标宋_GBK" w:eastAsia="方正小标宋_GBK" w:cs="宋体"/>
          <w:color w:val="000000"/>
          <w:kern w:val="0"/>
          <w:sz w:val="44"/>
          <w:szCs w:val="44"/>
          <w:lang w:val="en-US" w:eastAsia="zh-CN"/>
        </w:rPr>
        <w:t>洛阳市市场监督管理局关于印发《激发市场活力深化推行市场准人准营退出便利化二十一条举措》的通知</w:t>
      </w:r>
    </w:p>
    <w:p>
      <w:pPr>
        <w:pStyle w:val="2"/>
        <w:jc w:val="center"/>
        <w:rPr>
          <w:rFonts w:hint="eastAsia"/>
        </w:rPr>
      </w:pPr>
      <w:r>
        <w:rPr>
          <w:rFonts w:hint="eastAsia"/>
        </w:rPr>
        <w:t>洛市监[2023]11号</w:t>
      </w:r>
    </w:p>
    <w:p>
      <w:pPr>
        <w:pStyle w:val="2"/>
        <w:ind w:left="0" w:leftChars="0" w:firstLine="0" w:firstLineChars="0"/>
        <w:rPr>
          <w:rFonts w:hint="eastAsia"/>
        </w:rPr>
      </w:pPr>
      <w:r>
        <w:rPr>
          <w:rFonts w:hint="eastAsia"/>
        </w:rPr>
        <w:t>各县区市场监督管理局、市局机关各相关科室:</w:t>
      </w:r>
    </w:p>
    <w:p>
      <w:pPr>
        <w:pStyle w:val="2"/>
        <w:rPr>
          <w:rFonts w:hint="eastAsia"/>
        </w:rPr>
      </w:pPr>
      <w:r>
        <w:rPr>
          <w:rFonts w:hint="eastAsia"/>
        </w:rPr>
        <w:t>经市局研究同意，现将《洛阳市市场监督管理局激发市场活力深化推行市场准入准营退出便利化二十一条举措》印发给你们，请认真贯彻落实。</w:t>
      </w:r>
    </w:p>
    <w:p>
      <w:pPr>
        <w:pStyle w:val="2"/>
        <w:tabs>
          <w:tab w:val="left" w:pos="412"/>
        </w:tabs>
        <w:jc w:val="righ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ab/>
      </w:r>
      <w:r>
        <w:rPr>
          <w:rFonts w:hint="eastAsia"/>
        </w:rPr>
        <w:t>2023年4月</w:t>
      </w:r>
      <w:r>
        <w:rPr>
          <w:rFonts w:hint="eastAsia"/>
          <w:lang w:val="en-US" w:eastAsia="zh-CN"/>
        </w:rPr>
        <w:t>4日</w:t>
      </w:r>
    </w:p>
    <w:p>
      <w:pPr>
        <w:pStyle w:val="2"/>
        <w:tabs>
          <w:tab w:val="left" w:pos="412"/>
        </w:tabs>
        <w:ind w:left="0" w:leftChars="0" w:firstLine="0" w:firstLineChars="0"/>
        <w:jc w:val="center"/>
        <w:rPr>
          <w:rFonts w:hint="default" w:ascii="方正小标宋_GBK" w:hAnsi="Calibri" w:eastAsia="方正小标宋_GBK" w:cs="宋体"/>
          <w:color w:val="000000"/>
          <w:kern w:val="0"/>
          <w:sz w:val="44"/>
          <w:szCs w:val="44"/>
          <w:lang w:val="en-US" w:eastAsia="zh-CN" w:bidi="ar-SA"/>
        </w:rPr>
      </w:pPr>
      <w:r>
        <w:rPr>
          <w:rFonts w:hint="default" w:ascii="方正小标宋_GBK" w:hAnsi="Calibri" w:eastAsia="方正小标宋_GBK" w:cs="宋体"/>
          <w:color w:val="000000"/>
          <w:kern w:val="0"/>
          <w:sz w:val="44"/>
          <w:szCs w:val="44"/>
          <w:lang w:val="en-US" w:eastAsia="zh-CN" w:bidi="ar-SA"/>
        </w:rPr>
        <w:t>洛阳市市场监督管理局激发市场活力深化推行市场准入准营退出便利化二十一条举指</w:t>
      </w:r>
    </w:p>
    <w:p>
      <w:pPr>
        <w:pStyle w:val="2"/>
        <w:tabs>
          <w:tab w:val="left" w:pos="412"/>
        </w:tabs>
        <w:jc w:val="left"/>
        <w:rPr>
          <w:rFonts w:hint="default"/>
          <w:lang w:val="en-US" w:eastAsia="zh-CN"/>
        </w:rPr>
      </w:pPr>
      <w:r>
        <w:rPr>
          <w:rFonts w:hint="default"/>
          <w:lang w:val="en-US" w:eastAsia="zh-CN"/>
        </w:rPr>
        <w:t>为激发市场活力，全力以赴排经济,培育壮大市</w:t>
      </w:r>
      <w:bookmarkStart w:id="0" w:name="_GoBack"/>
      <w:bookmarkEnd w:id="0"/>
      <w:r>
        <w:rPr>
          <w:rFonts w:hint="default"/>
          <w:lang w:val="en-US" w:eastAsia="zh-CN"/>
        </w:rPr>
        <w:t>场主体发展洛阳市市场监督管理局发挥市场准入准营职能，深化“放管服效改革，敢于担当，攻坚克难，精简审批，改革创新，深化推行市场准入准营退出全生命周期便利化举措。</w:t>
      </w:r>
    </w:p>
    <w:p>
      <w:pPr>
        <w:pStyle w:val="2"/>
        <w:tabs>
          <w:tab w:val="left" w:pos="412"/>
        </w:tabs>
        <w:jc w:val="left"/>
        <w:rPr>
          <w:rFonts w:hint="default"/>
          <w:lang w:val="en-US" w:eastAsia="zh-CN"/>
        </w:rPr>
      </w:pPr>
      <w:r>
        <w:rPr>
          <w:rFonts w:hint="default"/>
          <w:lang w:val="en-US" w:eastAsia="zh-CN"/>
        </w:rPr>
        <w:t>一、办照便利化、准入更便捷</w:t>
      </w:r>
    </w:p>
    <w:p>
      <w:pPr>
        <w:pStyle w:val="2"/>
        <w:tabs>
          <w:tab w:val="left" w:pos="412"/>
        </w:tabs>
        <w:jc w:val="left"/>
        <w:rPr>
          <w:rFonts w:hint="default"/>
          <w:lang w:val="en-US" w:eastAsia="zh-CN"/>
        </w:rPr>
      </w:pPr>
      <w:r>
        <w:rPr>
          <w:rFonts w:hint="default"/>
          <w:lang w:val="en-US" w:eastAsia="zh-CN"/>
        </w:rPr>
        <w:t>(一)线上企业开办“一件事”一次办。依托河南省企业登记全程电子化系统，将企业开办涉及的注册登记、印章刻制、发票申领、员工参保、公积金缴存、银行预约开户、获得用水、获得用电、投资项目备案等事项纳入洛阳市企业开办“一件事”平台，实现数据共享、各环节同步并联办理，支持跨部门系统对接、数据交换等，多件事、多次办集成为一件事、一次办，实现企业开办一网办、一次办，进一步提升企业群众办事的便利度。</w:t>
      </w:r>
    </w:p>
    <w:p>
      <w:pPr>
        <w:pStyle w:val="2"/>
        <w:tabs>
          <w:tab w:val="left" w:pos="412"/>
        </w:tabs>
        <w:jc w:val="left"/>
        <w:rPr>
          <w:rFonts w:hint="default"/>
          <w:lang w:val="en-US" w:eastAsia="zh-CN"/>
        </w:rPr>
      </w:pPr>
      <w:r>
        <w:rPr>
          <w:rFonts w:hint="default"/>
          <w:lang w:val="en-US" w:eastAsia="zh-CN"/>
        </w:rPr>
        <w:t>(二)线下企业开办 “一窗通办”。在市、县区政务服务中心，整合企业设立、公章刻制、银行开户、税务登记等服务窗口，多窗口集成为一个窗口办，实现开办企业“一窗通办”。工作人员收取一套材料、多部门流程联动“一个窗口、一个环节一次办妥、一日办结”(三)智能审批自主办。推出商事登记全业务智能审批一体机，取代人工审批流程，由人工审批一日办结升级为智能审批当场办结，为市场主体提供登记信息填报、智能审批、执照打印等</w:t>
      </w:r>
    </w:p>
    <w:p>
      <w:pPr>
        <w:pStyle w:val="2"/>
        <w:tabs>
          <w:tab w:val="left" w:pos="412"/>
        </w:tabs>
        <w:jc w:val="left"/>
        <w:rPr>
          <w:rFonts w:hint="default"/>
          <w:lang w:val="en-US" w:eastAsia="zh-CN"/>
        </w:rPr>
      </w:pPr>
      <w:r>
        <w:rPr>
          <w:rFonts w:hint="default"/>
          <w:lang w:val="en-US" w:eastAsia="zh-CN"/>
        </w:rPr>
        <w:t>“一站式”服务，实现营业执照“秒批秒办”，“立等可取”(四)电子营业执照及印章助力“免证可办”。依托电子营业执照综合应用系统，企业凭电子营业执照即可完成市场主体身份识别、法人登录、在线签名等功能，全国互认通行。电子营业执照和电子印章实现同步发放领取，由纸质版升级为电子版，实体章升级为电子印章，为市场主体全流程“免证可办”提供技术</w:t>
      </w:r>
    </w:p>
    <w:p>
      <w:pPr>
        <w:pStyle w:val="2"/>
        <w:tabs>
          <w:tab w:val="left" w:pos="412"/>
        </w:tabs>
        <w:jc w:val="left"/>
        <w:rPr>
          <w:rFonts w:hint="default"/>
          <w:lang w:val="en-US" w:eastAsia="zh-CN"/>
        </w:rPr>
      </w:pPr>
      <w:r>
        <w:rPr>
          <w:rFonts w:hint="default"/>
          <w:lang w:val="en-US" w:eastAsia="zh-CN"/>
        </w:rPr>
        <w:t>支撑。(五)外资企业“容缺办”。推出外资企业“容缺受理”制度，对于暂时不能提供公证认证材料原件的外资企业，可以在核对公证认证文件扫描件真实无误后，通过提交股东签字或盖章的承诺书、公证认证材料复印件，先行办理登记，企业收到材料原件后在承诺期限内向登记机关补正即可。有效破解外资企业公证认证材料邮寄时间长的问题，实现外资企业登记“加速度”</w:t>
      </w:r>
    </w:p>
    <w:p>
      <w:pPr>
        <w:pStyle w:val="2"/>
        <w:tabs>
          <w:tab w:val="left" w:pos="412"/>
        </w:tabs>
        <w:jc w:val="left"/>
        <w:rPr>
          <w:rFonts w:hint="default"/>
          <w:lang w:val="en-US" w:eastAsia="zh-CN"/>
        </w:rPr>
      </w:pPr>
      <w:r>
        <w:rPr>
          <w:rFonts w:hint="default"/>
          <w:lang w:val="en-US" w:eastAsia="zh-CN"/>
        </w:rPr>
        <w:t>(六)减环节企业迁移变更登记一次办。将企业迁移登记和变更登记两个环节合并为一个环节办理,我市登记的企业在市内办理跨辖区迁移登记时，只需向拟迁入地登记机关提交一次申请，即可完成迁移登记和变更登记。通过减环节、增服务，切实解决市场主体办理迁移调档和变更登记重复申请“往返跑”问题(七)放宽准入支持“个转企”升级。放宽“个转企”名称登记限制、允许最大限度保留原个体工商户名称中的字号和行业特点，支持转型后的小做企业继续使用原个体工商户的字号、商标，认可转型前获得的荣誉及“文明诚信商户”称号，</w:t>
      </w:r>
    </w:p>
    <w:p>
      <w:pPr>
        <w:pStyle w:val="2"/>
        <w:tabs>
          <w:tab w:val="left" w:pos="412"/>
        </w:tabs>
        <w:jc w:val="left"/>
        <w:rPr>
          <w:rFonts w:hint="default"/>
          <w:lang w:val="en-US" w:eastAsia="zh-CN"/>
        </w:rPr>
      </w:pPr>
      <w:r>
        <w:rPr>
          <w:rFonts w:hint="default"/>
          <w:lang w:val="en-US" w:eastAsia="zh-CN"/>
        </w:rPr>
        <w:t>(八)推行辅导帮办亲情化服务。建立帮办辅导工作机制开设咨询帮办辅导窗口，同时设置引导台、公众号、咨询电话自助查询系统等渠道，加强事项中报前的辅导预审，让企业和群众少跑腿、办成事:上线“智能语音”机器人服务，定期对市场主体进行业务办理满意度回访，并建立问题台账，根据企业反协的意见及时进行整改;按照“一次办全部事”的标准，实施亲情服务、靠前服务、热情服务，全力当好市场主体的“店小二”最大化满足市场主体的个性化需求。</w:t>
      </w:r>
    </w:p>
    <w:p>
      <w:pPr>
        <w:pStyle w:val="2"/>
        <w:tabs>
          <w:tab w:val="left" w:pos="412"/>
        </w:tabs>
        <w:jc w:val="left"/>
        <w:rPr>
          <w:rFonts w:hint="default"/>
          <w:lang w:val="en-US" w:eastAsia="zh-CN"/>
        </w:rPr>
      </w:pPr>
      <w:r>
        <w:rPr>
          <w:rFonts w:hint="default"/>
          <w:lang w:val="en-US" w:eastAsia="zh-CN"/>
        </w:rPr>
        <w:t>(九)免费发放企业开办“大礼包”。“企业开办大礼包内有营业执照正副本、企业公章一套四枚、银行预约开户通知单发票、税控设备及相关惠企政策服务指南等，企业完成注册登记后即可免费领取，实现企业开办“零成本”</w:t>
      </w:r>
    </w:p>
    <w:p>
      <w:pPr>
        <w:pStyle w:val="2"/>
        <w:tabs>
          <w:tab w:val="left" w:pos="412"/>
        </w:tabs>
        <w:jc w:val="left"/>
        <w:rPr>
          <w:rFonts w:hint="default"/>
          <w:lang w:val="en-US" w:eastAsia="zh-CN"/>
        </w:rPr>
      </w:pPr>
      <w:r>
        <w:rPr>
          <w:rFonts w:hint="default"/>
          <w:lang w:val="en-US" w:eastAsia="zh-CN"/>
        </w:rPr>
        <w:t>二、办证便利化、准营更容易</w:t>
      </w:r>
    </w:p>
    <w:p>
      <w:pPr>
        <w:pStyle w:val="2"/>
        <w:tabs>
          <w:tab w:val="left" w:pos="412"/>
        </w:tabs>
        <w:jc w:val="left"/>
        <w:rPr>
          <w:rFonts w:hint="default"/>
          <w:lang w:val="en-US" w:eastAsia="zh-CN"/>
        </w:rPr>
      </w:pPr>
      <w:r>
        <w:rPr>
          <w:rFonts w:hint="default"/>
          <w:lang w:val="en-US" w:eastAsia="zh-CN"/>
        </w:rPr>
        <w:t>在全市全面推行药品、医(十)优化流程“先证后查疗器械经营许可业务“先证后查”。对申报材料齐全、符合法定条件的申请人，审批窗口可以直接发放许可证，将现场核查环节置于相关许可证领取之后，做到先发证后核查，将法定 45 个工作日、承诺 6个工作日完成的行政许可，优化为当场发证，实现企业筹备即准营。(十一)线上提交不见面审批。坚持以企业需求为导向，在洛阳市企业注朋登记业务实现全程电子化的基础上，推行食品生产许可、药品经营许可、医疗器械经营许可、执业药师注册业务网上申请、在线审核、邮寄发证，实现了企业中报全流程的“网上办”“零跑腿”“不见面”，为企业提供最大程度的便利，助力企业快速准营，高效优质服务企业发展。</w:t>
      </w:r>
    </w:p>
    <w:p>
      <w:pPr>
        <w:pStyle w:val="2"/>
        <w:tabs>
          <w:tab w:val="left" w:pos="412"/>
        </w:tabs>
        <w:jc w:val="left"/>
        <w:rPr>
          <w:rFonts w:hint="default"/>
          <w:lang w:val="en-US" w:eastAsia="zh-CN"/>
        </w:rPr>
      </w:pPr>
      <w:r>
        <w:rPr>
          <w:rFonts w:hint="default"/>
          <w:lang w:val="en-US" w:eastAsia="zh-CN"/>
        </w:rPr>
        <w:t>(十二)食药械许可备案一次办。中请在同一场所同时经营食品、药品和医疗器械的药品零售企业，只需提供一套材料、进行一次申报，审批通过后即可同时领取食品、药品和医疗器械经营许可证及备案凭证。</w:t>
      </w:r>
    </w:p>
    <w:p>
      <w:pPr>
        <w:pStyle w:val="2"/>
        <w:tabs>
          <w:tab w:val="left" w:pos="412"/>
        </w:tabs>
        <w:jc w:val="left"/>
        <w:rPr>
          <w:rFonts w:hint="default"/>
          <w:lang w:val="en-US" w:eastAsia="zh-CN"/>
        </w:rPr>
      </w:pPr>
      <w:r>
        <w:rPr>
          <w:rFonts w:hint="default"/>
          <w:lang w:val="en-US" w:eastAsia="zh-CN"/>
        </w:rPr>
        <w:t>(十三)减材料“承诺即可准营”。对于合法合规生产经营且许可条件未发生变化的食品生产企业、药品和医疗器械零售企业，在办理许可证延续业务时，可免于现场核查，企业只需提交申请材料并作出承诺即可换发新证;上述企业的名称、法定代表人等 17 项无需现场核查的事项发生变化时，企业只需作出承诺即可办理变更手续。房屋产权证明、无违规证明等证明事项均实现告知承诺制，使准入更简便，审批更快速。</w:t>
      </w:r>
    </w:p>
    <w:p>
      <w:pPr>
        <w:pStyle w:val="2"/>
        <w:tabs>
          <w:tab w:val="left" w:pos="412"/>
        </w:tabs>
        <w:jc w:val="left"/>
        <w:rPr>
          <w:rFonts w:hint="default"/>
          <w:lang w:val="en-US" w:eastAsia="zh-CN"/>
        </w:rPr>
      </w:pPr>
      <w:r>
        <w:rPr>
          <w:rFonts w:hint="default"/>
          <w:lang w:val="en-US" w:eastAsia="zh-CN"/>
        </w:rPr>
        <w:t>(十四)放权赋能“就近办”。完成省经济社会行政审批事项下放工作，承接医疗机构配制制剂许可、化妆品生产许可等25 项省级行政审批事项，实现承接落地洛阳办: 向县区下放第二类医疗器械经营企业备案等 13 项市本级行政审批事项，赋予县区部分市级经济社会管理权限，实现权限下放就近办。放开行业注册登记工作，不分行业和注册资金，内资企业实施属地注册登记就近办。</w:t>
      </w:r>
    </w:p>
    <w:p>
      <w:pPr>
        <w:pStyle w:val="2"/>
        <w:tabs>
          <w:tab w:val="left" w:pos="412"/>
        </w:tabs>
        <w:jc w:val="left"/>
        <w:rPr>
          <w:rFonts w:hint="default"/>
          <w:lang w:val="en-US" w:eastAsia="zh-CN"/>
        </w:rPr>
      </w:pPr>
      <w:r>
        <w:rPr>
          <w:rFonts w:hint="default"/>
          <w:lang w:val="en-US" w:eastAsia="zh-CN"/>
        </w:rPr>
        <w:t>(十五)准入准营并联办。将食品生产许可证、药品经营许可证、特种设备使用登记证等 12 类涉企经营许可事项的许可证信息集成为一码，集中整合加载到营业执照上，企业只需提交次申请材料，即可同步办理准入登记、准营许可审批，所需材料减少70%以上，办理时限压减 50%以上。</w:t>
      </w:r>
    </w:p>
    <w:p>
      <w:pPr>
        <w:pStyle w:val="2"/>
        <w:tabs>
          <w:tab w:val="left" w:pos="412"/>
        </w:tabs>
        <w:jc w:val="left"/>
        <w:rPr>
          <w:rFonts w:hint="default"/>
          <w:lang w:val="en-US" w:eastAsia="zh-CN"/>
        </w:rPr>
      </w:pPr>
      <w:r>
        <w:rPr>
          <w:rFonts w:hint="default"/>
          <w:lang w:val="en-US" w:eastAsia="zh-CN"/>
        </w:rPr>
        <w:t>(十六)多个事项“合并办”。梳理多个事项的共性材料优化整合为一套申请村料。食品生产许可证、医疗器械经营许可证、药品经营许可证的延续和变更业务可合并办理;全面推行分支机构注册登记和许可业务合并同类项审批，对于同一总部下的多家分支机构，申请办理同类事项的，提交一套材料，申请一次一次审批完成后集中换发证照。</w:t>
      </w:r>
    </w:p>
    <w:p>
      <w:pPr>
        <w:pStyle w:val="2"/>
        <w:tabs>
          <w:tab w:val="left" w:pos="412"/>
        </w:tabs>
        <w:jc w:val="left"/>
        <w:rPr>
          <w:rFonts w:hint="default"/>
          <w:lang w:val="en-US" w:eastAsia="zh-CN"/>
        </w:rPr>
      </w:pPr>
      <w:r>
        <w:rPr>
          <w:rFonts w:hint="default"/>
          <w:lang w:val="en-US" w:eastAsia="zh-CN"/>
        </w:rPr>
        <w:t>(十七 )“一业一证”便利准营。推行市场监管领域“.一业一证”改革，将市场主体进入特定行业涉及的多张许可证，统-整合到其主营项目的许可证上、企业仅需一张许可证即可经营实现市场监管部门各类许可业务“一套材料、一窗受理、并联审批、只发一证、一证准营”。</w:t>
      </w:r>
    </w:p>
    <w:p>
      <w:pPr>
        <w:pStyle w:val="2"/>
        <w:tabs>
          <w:tab w:val="left" w:pos="412"/>
        </w:tabs>
        <w:jc w:val="left"/>
        <w:rPr>
          <w:rFonts w:hint="eastAsia"/>
          <w:lang w:val="en-US" w:eastAsia="zh-CN"/>
        </w:rPr>
      </w:pPr>
      <w:r>
        <w:rPr>
          <w:rFonts w:hint="default"/>
          <w:lang w:val="en-US" w:eastAsia="zh-CN"/>
        </w:rPr>
        <w:t>(十八)规范统一标准化审批。全面梳理我市市场监管领域审批事项，编制《市场监管窗口业务指南》，规范审批事项的中请主体、申报条件、申报材料、审查要点、办理时限等要素内容定期组织业务人员培训，做到统一标准、统一材料、统一时限</w:t>
      </w:r>
      <w:r>
        <w:rPr>
          <w:rFonts w:hint="eastAsia"/>
          <w:lang w:val="en-US" w:eastAsia="zh-CN"/>
        </w:rPr>
        <w:t>、统一口径，大幅压减自由裁量空问，做到事项审批有标准、受理人员有参照，保证市场主体“便利化准营”的标准化和规范化.</w:t>
      </w:r>
    </w:p>
    <w:p>
      <w:pPr>
        <w:pStyle w:val="2"/>
        <w:tabs>
          <w:tab w:val="left" w:pos="412"/>
        </w:tabs>
        <w:jc w:val="left"/>
        <w:rPr>
          <w:rFonts w:hint="eastAsia"/>
          <w:lang w:val="en-US" w:eastAsia="zh-CN"/>
        </w:rPr>
      </w:pPr>
      <w:r>
        <w:rPr>
          <w:rFonts w:hint="eastAsia"/>
          <w:lang w:val="en-US" w:eastAsia="zh-CN"/>
        </w:rPr>
        <w:t>(十九)现场核查便利化。为进一步高效、便利完成行政许可中的现场核查工作，从市、县区局、直属单位监管骨干和有关专家中择优选拔，组建企省首个市级“三品一械”(食品、医疗机构制剂、化妆品、医疗器械)检查员库，为我市快核便查准营提供有力支撑。</w:t>
      </w:r>
    </w:p>
    <w:p>
      <w:pPr>
        <w:pStyle w:val="2"/>
        <w:tabs>
          <w:tab w:val="left" w:pos="412"/>
        </w:tabs>
        <w:jc w:val="left"/>
        <w:rPr>
          <w:rFonts w:hint="eastAsia"/>
          <w:lang w:val="en-US" w:eastAsia="zh-CN"/>
        </w:rPr>
      </w:pPr>
      <w:r>
        <w:rPr>
          <w:rFonts w:hint="eastAsia"/>
          <w:lang w:val="en-US" w:eastAsia="zh-CN"/>
        </w:rPr>
        <w:t>三、退出便利化，注销更快捷</w:t>
      </w:r>
    </w:p>
    <w:p>
      <w:pPr>
        <w:pStyle w:val="2"/>
        <w:tabs>
          <w:tab w:val="left" w:pos="412"/>
        </w:tabs>
        <w:jc w:val="left"/>
        <w:rPr>
          <w:rFonts w:hint="eastAsia"/>
          <w:lang w:val="en-US" w:eastAsia="zh-CN"/>
        </w:rPr>
      </w:pPr>
      <w:r>
        <w:rPr>
          <w:rFonts w:hint="eastAsia"/>
          <w:lang w:val="en-US" w:eastAsia="zh-CN"/>
        </w:rPr>
        <w:t>(二十)“减成本”当日办结。企业可以选择通过河南省全程电子化服务平台向社会免费公示清算组信息和发布债权人公告，由纸质登报公告变为平台免费公告，降低注销成本。在承诺办结时限 3个工作日的基础上,将注销办理时间压减至1个工作日，实现当日办结。</w:t>
      </w:r>
    </w:p>
    <w:p>
      <w:pPr>
        <w:pStyle w:val="2"/>
        <w:tabs>
          <w:tab w:val="left" w:pos="412"/>
        </w:tabs>
        <w:jc w:val="left"/>
        <w:rPr>
          <w:rFonts w:hint="eastAsia"/>
          <w:lang w:val="en-US" w:eastAsia="zh-CN"/>
        </w:rPr>
      </w:pPr>
      <w:r>
        <w:rPr>
          <w:rFonts w:hint="eastAsia"/>
          <w:lang w:val="en-US" w:eastAsia="zh-CN"/>
        </w:rPr>
        <w:t>(二十一) 证照注销同步办。面向内资和私营企业，推出1+N“套餐式”注销服务，只需填写一套申请表，提交一次材料即可实现营业执照和部分许可事项注销同步办，让群众、企业高效便捷完成企业注销“一件事”，便利市场主体退出。</w:t>
      </w:r>
    </w:p>
    <w:p>
      <w:pPr>
        <w:pStyle w:val="2"/>
        <w:tabs>
          <w:tab w:val="left" w:pos="412"/>
        </w:tabs>
        <w:jc w:val="left"/>
        <w:rPr>
          <w:rFonts w:hint="default"/>
          <w:lang w:val="en-US" w:eastAsia="zh-CN"/>
        </w:rPr>
      </w:pPr>
    </w:p>
    <w:p>
      <w:pPr>
        <w:pStyle w:val="2"/>
        <w:tabs>
          <w:tab w:val="left" w:pos="412"/>
        </w:tabs>
        <w:jc w:val="left"/>
        <w:rPr>
          <w:rFonts w:hint="default"/>
          <w:lang w:val="en-US" w:eastAsia="zh-CN"/>
        </w:rPr>
      </w:pPr>
      <w:r>
        <w:rPr>
          <w:rFonts w:hint="default"/>
          <w:lang w:val="en-US" w:eastAsia="zh-CN"/>
        </w:rPr>
        <w:t>-</w:t>
      </w:r>
    </w:p>
    <w:p>
      <w:pPr>
        <w:pStyle w:val="2"/>
        <w:tabs>
          <w:tab w:val="left" w:pos="412"/>
        </w:tabs>
        <w:ind w:left="0" w:leftChars="0" w:firstLine="0" w:firstLineChars="0"/>
        <w:jc w:val="left"/>
        <w:rPr>
          <w:rFonts w:hint="default"/>
          <w:lang w:val="en-US" w:eastAsia="zh-CN"/>
        </w:rPr>
      </w:pPr>
    </w:p>
    <w:p>
      <w:pPr>
        <w:pStyle w:val="2"/>
        <w:tabs>
          <w:tab w:val="left" w:pos="412"/>
        </w:tabs>
        <w:jc w:val="right"/>
        <w:rPr>
          <w:rFonts w:hint="default"/>
          <w:lang w:val="en-US" w:eastAsia="zh-CN"/>
        </w:rPr>
      </w:pP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EC21A798-C3B7-47BA-B41E-10ADE4A75323}"/>
  </w:font>
  <w:font w:name="仿宋">
    <w:panose1 w:val="02010609060101010101"/>
    <w:charset w:val="86"/>
    <w:family w:val="auto"/>
    <w:pitch w:val="default"/>
    <w:sig w:usb0="800002BF" w:usb1="38CF7CFA" w:usb2="00000016" w:usb3="00000000" w:csb0="00040001" w:csb1="00000000"/>
    <w:embedRegular r:id="rId2" w:fontKey="{7E0BCD5A-006C-4FFF-95B3-2A30FD7E7435}"/>
  </w:font>
  <w:font w:name="方正小标宋_GBK">
    <w:panose1 w:val="02000000000000000000"/>
    <w:charset w:val="86"/>
    <w:family w:val="auto"/>
    <w:pitch w:val="default"/>
    <w:sig w:usb0="A00002BF" w:usb1="38CF7CFA" w:usb2="00082016" w:usb3="00000000" w:csb0="00040001" w:csb1="00000000"/>
    <w:embedRegular r:id="rId3" w:fontKey="{E7153979-611C-451C-94E2-45FB253C6A5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kOGE4YWI3NmY0ZDM5N2YwZDBiYzYyYWE3MzNlMDcifQ=="/>
  </w:docVars>
  <w:rsids>
    <w:rsidRoot w:val="00000000"/>
    <w:rsid w:val="1CE353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样式1"/>
    <w:basedOn w:val="1"/>
    <w:qFormat/>
    <w:uiPriority w:val="0"/>
    <w:pPr>
      <w:ind w:firstLine="200" w:firstLineChars="200"/>
      <w:jc w:val="left"/>
    </w:pPr>
    <w:rPr>
      <w:rFonts w:ascii="仿宋" w:eastAsia="仿宋"/>
      <w:color w:val="000000"/>
      <w:kern w:val="0"/>
      <w:sz w:val="30"/>
      <w:szCs w:val="30"/>
      <w:lang w:bidi="en-US"/>
    </w:rPr>
  </w:style>
  <w:style w:type="paragraph" w:styleId="3">
    <w:name w:val="Normal (Web)"/>
    <w:basedOn w:val="1"/>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2023-07-25T06:48:14Z</dcterms:created>
  <dc:creator>Administrator</dc:creator>
  <cp:lastModifiedBy>风飞扬</cp:lastModifiedBy>
  <dcterms:modified xsi:type="dcterms:W3CDTF">2023-07-25T06:54:40Z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B216AEE76617413AB8E6504CF338DC2C_12</vt:lpwstr>
  </property>
</Properties>
</file>